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shd w:val="clear"/>
          <w:lang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附件</w:t>
      </w:r>
      <w:r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shd w:val="clear"/>
          <w:lang w:eastAsia="zh-CN" w:bidi="ar-SA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《深圳市推动服务外包高质量发展实施方案（征求意见稿）》听证简要导引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一、起草背景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服务外包是服务贸易的重要组成部分和数字贸易的重要实现途径，在构建新发展格局中具有重要作用。2025年12月7日，商务部、中央网信办、国家发展改革委、工业和信息化部、财政部、海关总署联合制定了《促进服务外包高质量发展行动计划》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262626"/>
          <w:sz w:val="32"/>
          <w:szCs w:val="32"/>
          <w:lang w:val="en-US" w:eastAsia="zh-CN"/>
        </w:rPr>
        <w:t>商服贸函〔2025〕670号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，要求“各示范城市要进一步发挥主观能动性和创造性，结合当地实际积极探索，制定行动计划的实施方案”。为贯彻落实商务部工作部署，促进服务外包高质量发展，加快发展新质生产力，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我局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牵头起草了《深圳市推动服务外包高质量发展实施方案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征求意见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稿）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》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（以下简称《实施方案》）。</w:t>
      </w:r>
    </w:p>
    <w:p>
      <w:pPr>
        <w:pStyle w:val="2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二、起草思路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26262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《实施方案》的起草主要基于以下三点考虑：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262626"/>
          <w:sz w:val="32"/>
          <w:szCs w:val="32"/>
          <w:lang w:val="en-US" w:eastAsia="zh-CN"/>
        </w:rPr>
        <w:t>（一）贯彻落实国家数字贸易战略部署。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近年来，国家将数字贸易作为培育国际竞争新优势的重要方向。商服贸函〔2025〕670号文明确要求打造数字贸易产业集群，并对服务外包示范城市提出先行先试要求。深圳数字经济规模全国领先，华为、腾讯等企业在全球云服务和算力交付领域已形成较强竞争力。为此，《实施方案》将“数字化基建”服务出海作为首要行动，重点布局数字基础设施、国际数据服务、国际规则对接三个方向，推动深圳从数字应用大市向数字服务输出强市转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262626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shd w:val="clear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shd w:val="clear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shd w:val="clear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shd w:val="clear"/>
        </w:rPr>
        <w:t>立足深圳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shd w:val="clear"/>
          <w:lang w:val="en-US" w:eastAsia="zh-CN"/>
        </w:rPr>
        <w:t>先进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shd w:val="clear"/>
        </w:rPr>
        <w:t>制造业比较优势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shd w:val="clear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深圳作为全国“工业第一城”，“20+8”产业基础雄厚，具备将制造优势转化为服务外包增量的独特禀赋。《实施方案》重点从三个方向发力：一是推动“制造服务化”，支持链主企业剥离非核心业务，催生保税研发、全球维修等跨境外包新业态；二是推动“技术方案化”，依托无人机、智能网联汽车等领域先发优势，实现硬件、服务一体化输出；三是推动“研发全球化”，利用河套、前海深港协同优势，做大生物医药CRO和CDMO跨境研发外包，抢占全球医药研发外包高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262626"/>
          <w:sz w:val="32"/>
          <w:szCs w:val="32"/>
          <w:lang w:val="en-US" w:eastAsia="zh-CN"/>
        </w:rPr>
        <w:t>（三）持续巩固传统领域优势。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目前，深圳信息技术外包（ITO）占全市服务外包总额约三分之二，主要集中在软件开发、集成电路设计等领域；知识流程外包（KPO）以工业设计服务为特色；业务流程外包（BPO）以供应链管理服务见长。同时，深圳作为全国跨境电商第一城，在品牌策划、精准营销、合规咨询等方面也具备天然优势。《实施方案》在培育新业态的同时，着力推动上述传统领域提质增效，进一步增强信息技术外包全球接包能力、设计与文创外包国际议价权、业务流程外包能级，巩固深圳在全球服务贸易网络中的节点地位。</w:t>
      </w:r>
    </w:p>
    <w:p>
      <w:pPr>
        <w:pStyle w:val="2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三、主要内容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《实施方案》正文主要包括总体要求、重点任务和保障措施三大部分。其中，第二大项“重点任务”具体细分为五大行动。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shd w:val="clear"/>
          <w:lang w:val="en-US" w:eastAsia="zh-CN"/>
        </w:rPr>
        <w:t>（一）实施“数字化基建服务”出海行动，抢占数字服务制高点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包括适度超前布局数字基础设施、加速数字基建服务出海、培育国际数据服务全链条、强化国际规则和标准对接四方面措施；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shd w:val="clear"/>
          <w:lang w:val="en-US" w:eastAsia="zh-CN"/>
        </w:rPr>
        <w:t>（二）实施“优势服务领域”提升行动，提升产业核心竞争力。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包括增强信息技术外包全球接包能力、增强设计与文创外包国际议价权、升级业务流程外包能级三方面措施；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shd w:val="clear"/>
          <w:lang w:val="en-US" w:eastAsia="zh-CN"/>
        </w:rPr>
        <w:t>（三）实施“特色产业集群”拓潜行动，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打造硬核增长极。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包括打造跨境生物医药研发服务高地、培育低空经济和智能车研外包增长极、深度推进“制造+服务”产业链融合发展三方面措施；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shd w:val="clear"/>
          <w:lang w:val="en-US" w:eastAsia="zh-CN"/>
        </w:rPr>
        <w:t>（四）实施“主体载体能级”提升行动，增强全球交付与市场竞争力。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包括梯度培育领军企业、优化园区布局与服务生态、多元化拓展全球市场渠道、强化多层次投融资支持、创新金融与信保支持模式五方面措施；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shd w:val="clear"/>
          <w:lang w:val="en-US" w:eastAsia="zh-CN"/>
        </w:rPr>
        <w:t>（五）实施“营商环境”优化行动，集聚全球高端服务要素资源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。包括构筑国际人才集聚高地、优化海关集成化监管模式、落实税收精准支持政策、创新统计监测模式四方面措施。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E2EF7"/>
    <w:rsid w:val="0E176739"/>
    <w:rsid w:val="15F0378C"/>
    <w:rsid w:val="1C7836C6"/>
    <w:rsid w:val="230044F9"/>
    <w:rsid w:val="2FB54E42"/>
    <w:rsid w:val="319C7877"/>
    <w:rsid w:val="3DC1175F"/>
    <w:rsid w:val="4286740D"/>
    <w:rsid w:val="471F1BDF"/>
    <w:rsid w:val="58C3686E"/>
    <w:rsid w:val="5B1A65A9"/>
    <w:rsid w:val="5FBF9E4C"/>
    <w:rsid w:val="62BF6990"/>
    <w:rsid w:val="68161650"/>
    <w:rsid w:val="6F984159"/>
    <w:rsid w:val="75800735"/>
    <w:rsid w:val="7FDF6558"/>
    <w:rsid w:val="93B700D4"/>
    <w:rsid w:val="BFEF7611"/>
    <w:rsid w:val="DD3F0098"/>
    <w:rsid w:val="FEFC60D4"/>
    <w:rsid w:val="FF3F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adjustRightInd w:val="0"/>
      <w:snapToGrid w:val="0"/>
      <w:spacing w:line="579" w:lineRule="exact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1467</Words>
  <Characters>1495</Characters>
  <Lines>0</Lines>
  <Paragraphs>0</Paragraphs>
  <TotalTime>0</TotalTime>
  <ScaleCrop>false</ScaleCrop>
  <LinksUpToDate>false</LinksUpToDate>
  <CharactersWithSpaces>1495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2026-07-28T17:49:00Z</dcterms:created>
  <dc:creator>Administrator</dc:creator>
  <cp:lastModifiedBy>叶育万</cp:lastModifiedBy>
  <dcterms:modified xsi:type="dcterms:W3CDTF">2026-07-30T17:50:11Z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KSOTemplateDocerSaveRecord">
    <vt:lpwstr>eyJoZGlkIjoiZWZkOGZkY2NiZTc1MTJjYzUzNjgwNWUwNmNkZjY5OTgiLCJ1c2VySWQiOiIzNDc0OTUxNjcifQ==</vt:lpwstr>
  </property>
  <property fmtid="{D5CDD505-2E9C-101B-9397-08002B2CF9AE}" pid="4" name="ICV">
    <vt:lpwstr>88E333D41FD747C09A650D49A0EE4377_12</vt:lpwstr>
  </property>
</Properties>
</file>