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D9C629">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黑体" w:hAnsi="黑体" w:eastAsia="黑体" w:cs="黑体"/>
          <w:i w:val="0"/>
          <w:iCs w:val="0"/>
          <w:caps w:val="0"/>
          <w:color w:val="000000"/>
          <w:spacing w:val="0"/>
          <w:kern w:val="2"/>
          <w:sz w:val="32"/>
          <w:szCs w:val="32"/>
          <w:highlight w:val="none"/>
          <w:shd w:val="clear"/>
          <w:lang w:val="en-US" w:eastAsia="zh-CN" w:bidi="ar-SA"/>
        </w:rPr>
      </w:pPr>
      <w:r>
        <w:rPr>
          <w:rFonts w:hint="eastAsia" w:ascii="黑体" w:hAnsi="黑体" w:eastAsia="黑体" w:cs="黑体"/>
          <w:i w:val="0"/>
          <w:iCs w:val="0"/>
          <w:caps w:val="0"/>
          <w:color w:val="000000"/>
          <w:spacing w:val="0"/>
          <w:kern w:val="2"/>
          <w:sz w:val="32"/>
          <w:szCs w:val="32"/>
          <w:highlight w:val="none"/>
          <w:shd w:val="clear"/>
          <w:lang w:val="en-US" w:eastAsia="zh-CN" w:bidi="ar-SA"/>
        </w:rPr>
        <w:t>附件1</w:t>
      </w:r>
    </w:p>
    <w:p w14:paraId="5231AE14">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i w:val="0"/>
          <w:iCs w:val="0"/>
          <w:caps w:val="0"/>
          <w:color w:val="000000"/>
          <w:spacing w:val="0"/>
          <w:kern w:val="2"/>
          <w:sz w:val="44"/>
          <w:szCs w:val="44"/>
          <w:highlight w:val="none"/>
          <w:shd w:val="clear"/>
          <w:lang w:val="en-US" w:eastAsia="zh-CN" w:bidi="ar-SA"/>
        </w:rPr>
      </w:pPr>
    </w:p>
    <w:p w14:paraId="55D93408">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i w:val="0"/>
          <w:iCs w:val="0"/>
          <w:caps w:val="0"/>
          <w:color w:val="000000"/>
          <w:spacing w:val="0"/>
          <w:kern w:val="2"/>
          <w:sz w:val="44"/>
          <w:szCs w:val="44"/>
          <w:highlight w:val="none"/>
          <w:shd w:val="clear"/>
          <w:lang w:val="en-US" w:eastAsia="zh-CN" w:bidi="ar-SA"/>
        </w:rPr>
      </w:pPr>
      <w:r>
        <w:rPr>
          <w:rFonts w:hint="eastAsia" w:ascii="方正小标宋简体" w:hAnsi="方正小标宋简体" w:eastAsia="方正小标宋简体" w:cs="方正小标宋简体"/>
          <w:b w:val="0"/>
          <w:i w:val="0"/>
          <w:iCs w:val="0"/>
          <w:caps w:val="0"/>
          <w:color w:val="000000"/>
          <w:spacing w:val="0"/>
          <w:kern w:val="2"/>
          <w:sz w:val="44"/>
          <w:szCs w:val="44"/>
          <w:highlight w:val="none"/>
          <w:shd w:val="clear"/>
          <w:lang w:val="en-US" w:eastAsia="zh-CN" w:bidi="ar-SA"/>
        </w:rPr>
        <w:t>深圳市推动服务外包高质量发展实施方案</w:t>
      </w:r>
    </w:p>
    <w:p w14:paraId="26FD60F8">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楷体_GB2312" w:hAnsi="楷体_GB2312" w:eastAsia="楷体_GB2312" w:cs="楷体_GB2312"/>
          <w:b w:val="0"/>
          <w:bCs w:val="0"/>
          <w:sz w:val="32"/>
          <w:szCs w:val="32"/>
          <w:lang w:val="en-US" w:eastAsia="zh-CN"/>
        </w:rPr>
      </w:pPr>
      <w:r>
        <w:rPr>
          <w:rFonts w:hint="eastAsia" w:ascii="楷体_GB2312" w:hAnsi="楷体_GB2312" w:eastAsia="楷体_GB2312" w:cs="楷体_GB2312"/>
          <w:b w:val="0"/>
          <w:bCs w:val="0"/>
          <w:sz w:val="32"/>
          <w:szCs w:val="32"/>
          <w:lang w:val="en-US" w:eastAsia="zh-CN"/>
        </w:rPr>
        <w:t>（征求意见稿）</w:t>
      </w:r>
    </w:p>
    <w:p w14:paraId="544ADEA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p>
    <w:p w14:paraId="041341F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highlight w:val="yellow"/>
          <w:lang w:val="en-US" w:eastAsia="zh-CN"/>
        </w:rPr>
      </w:pPr>
      <w:r>
        <w:rPr>
          <w:rFonts w:hint="eastAsia" w:ascii="仿宋_GB2312" w:hAnsi="仿宋_GB2312" w:eastAsia="仿宋_GB2312" w:cs="仿宋_GB2312"/>
          <w:sz w:val="32"/>
          <w:szCs w:val="32"/>
          <w:lang w:val="en-US" w:eastAsia="zh-CN"/>
        </w:rPr>
        <w:t>为贯彻落实党中央、国务院关于创新提升服务贸易、创新发展数字贸易的部署要求，落实商务部等六部门联合印发的《促进服务外包高质量发展行动计划》（商服贸函〔2025〕670号），促进服务外包高质量发展，加快发展新质生产力，特制定本实施方案。</w:t>
      </w:r>
      <w:r>
        <w:rPr>
          <w:rFonts w:hint="eastAsia" w:ascii="黑体" w:hAnsi="黑体" w:eastAsia="黑体" w:cs="黑体"/>
          <w:sz w:val="32"/>
          <w:szCs w:val="32"/>
          <w:lang w:val="en-US" w:eastAsia="zh-CN"/>
        </w:rPr>
        <w:t>[责任单位按机构排序排列，按职责分工落实]</w:t>
      </w:r>
    </w:p>
    <w:p w14:paraId="445E2D5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i w:val="0"/>
          <w:iCs w:val="0"/>
          <w:caps w:val="0"/>
          <w:color w:val="000000"/>
          <w:spacing w:val="0"/>
          <w:kern w:val="2"/>
          <w:sz w:val="32"/>
          <w:szCs w:val="32"/>
          <w:highlight w:val="none"/>
          <w:shd w:val="clear"/>
          <w:lang w:val="en-US" w:eastAsia="zh-CN" w:bidi="ar-SA"/>
        </w:rPr>
      </w:pPr>
      <w:r>
        <w:rPr>
          <w:rFonts w:hint="eastAsia" w:ascii="黑体" w:hAnsi="黑体" w:eastAsia="黑体" w:cs="黑体"/>
          <w:i w:val="0"/>
          <w:iCs w:val="0"/>
          <w:caps w:val="0"/>
          <w:color w:val="000000"/>
          <w:spacing w:val="0"/>
          <w:kern w:val="2"/>
          <w:sz w:val="32"/>
          <w:szCs w:val="32"/>
          <w:highlight w:val="none"/>
          <w:shd w:val="clear"/>
          <w:lang w:val="en-US" w:eastAsia="zh-CN" w:bidi="ar-SA"/>
        </w:rPr>
        <w:t>一、总体要求</w:t>
      </w:r>
    </w:p>
    <w:p w14:paraId="55BB3CA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坚持以习近平新时代中国特色社会主义思想为指导，全面贯彻落实党的二十大和二十届历次全会精神，深入贯彻落实习近平总书记对广东、深圳系列重要讲话和重要指示精神，围绕加快打造更具全球影响力的经济中心城市和现代化国际大都市，充分发挥粤港澳大湾区、深圳先行示范区和综合改革试点优势，完整、准确、全面贯彻新发展理念，统筹离岸与在岸外包协调发展，推动服务外包与数字贸易、先进制造业深度融合，加快构建以数字技术为引擎、以制度创新为突破、以深港协同为特色的服务外包发展新格局，打造全球领先的服务外包高地。</w:t>
      </w:r>
    </w:p>
    <w:p w14:paraId="78B1124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到2030年，培育一批具备全球资源配置能力的龙头企业，打造若干具有国际影响力的服务外包集聚区，力争离岸服务外包执行额保持全国前列，成为深圳建设数字贸易国际</w:t>
      </w:r>
      <w:r>
        <w:rPr>
          <w:rFonts w:hint="default" w:ascii="仿宋_GB2312" w:hAnsi="仿宋_GB2312" w:eastAsia="仿宋_GB2312" w:cs="仿宋_GB2312"/>
          <w:sz w:val="32"/>
          <w:szCs w:val="32"/>
          <w:lang w:eastAsia="zh-CN"/>
        </w:rPr>
        <w:t>枢纽</w:t>
      </w:r>
      <w:r>
        <w:rPr>
          <w:rFonts w:hint="eastAsia" w:ascii="仿宋_GB2312" w:hAnsi="仿宋_GB2312" w:eastAsia="仿宋_GB2312" w:cs="仿宋_GB2312"/>
          <w:sz w:val="32"/>
          <w:szCs w:val="32"/>
          <w:lang w:val="en-US" w:eastAsia="zh-CN"/>
        </w:rPr>
        <w:t>的重要支撑。</w:t>
      </w:r>
    </w:p>
    <w:p w14:paraId="26321BA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i w:val="0"/>
          <w:iCs w:val="0"/>
          <w:caps w:val="0"/>
          <w:color w:val="000000"/>
          <w:spacing w:val="0"/>
          <w:kern w:val="2"/>
          <w:sz w:val="32"/>
          <w:szCs w:val="32"/>
          <w:highlight w:val="none"/>
          <w:shd w:val="clear"/>
          <w:lang w:val="en-US" w:eastAsia="zh-CN" w:bidi="ar-SA"/>
        </w:rPr>
      </w:pPr>
      <w:r>
        <w:rPr>
          <w:rFonts w:hint="eastAsia" w:ascii="黑体" w:hAnsi="黑体" w:eastAsia="黑体" w:cs="黑体"/>
          <w:i w:val="0"/>
          <w:iCs w:val="0"/>
          <w:caps w:val="0"/>
          <w:color w:val="000000"/>
          <w:spacing w:val="0"/>
          <w:kern w:val="2"/>
          <w:sz w:val="32"/>
          <w:szCs w:val="32"/>
          <w:highlight w:val="none"/>
          <w:shd w:val="clear"/>
          <w:lang w:val="en-US" w:eastAsia="zh-CN" w:bidi="ar-SA"/>
        </w:rPr>
        <w:t>二、重点任务</w:t>
      </w:r>
    </w:p>
    <w:p w14:paraId="09CF737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b w:val="0"/>
          <w:bCs w:val="0"/>
          <w:sz w:val="32"/>
          <w:szCs w:val="32"/>
          <w:lang w:val="en-US" w:eastAsia="zh-CN"/>
        </w:rPr>
      </w:pPr>
      <w:r>
        <w:rPr>
          <w:rFonts w:hint="eastAsia" w:ascii="楷体_GB2312" w:hAnsi="楷体_GB2312" w:eastAsia="楷体_GB2312" w:cs="楷体_GB2312"/>
          <w:b w:val="0"/>
          <w:bCs w:val="0"/>
          <w:sz w:val="32"/>
          <w:szCs w:val="32"/>
          <w:lang w:val="en-US" w:eastAsia="zh-CN"/>
        </w:rPr>
        <w:t>（一）实施“数字化基建服务”出海行动，抢占数字服务制高点</w:t>
      </w:r>
    </w:p>
    <w:p w14:paraId="7D08F8B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2"/>
        <w:textAlignment w:val="auto"/>
        <w:rPr>
          <w:rFonts w:hint="default" w:ascii="仿宋_GB2312" w:hAnsi="仿宋_GB2312" w:eastAsia="仿宋_GB2312" w:cs="仿宋_GB2312"/>
          <w:b/>
          <w:bCs/>
          <w:sz w:val="32"/>
          <w:szCs w:val="32"/>
          <w:highlight w:val="yellow"/>
          <w:lang w:val="en-US" w:eastAsia="zh-CN"/>
        </w:rPr>
      </w:pPr>
      <w:r>
        <w:rPr>
          <w:rFonts w:hint="eastAsia" w:ascii="仿宋_GB2312" w:hAnsi="仿宋_GB2312" w:eastAsia="仿宋_GB2312" w:cs="仿宋_GB2312"/>
          <w:b/>
          <w:bCs/>
          <w:sz w:val="32"/>
          <w:szCs w:val="32"/>
          <w:highlight w:val="none"/>
          <w:lang w:val="en-US" w:eastAsia="zh-CN"/>
        </w:rPr>
        <w:t>1.适度超前布局数字基础设施。</w:t>
      </w:r>
      <w:r>
        <w:rPr>
          <w:rFonts w:hint="eastAsia" w:ascii="仿宋_GB2312" w:hAnsi="仿宋_GB2312" w:eastAsia="仿宋_GB2312" w:cs="仿宋_GB2312"/>
          <w:b w:val="0"/>
          <w:bCs w:val="0"/>
          <w:sz w:val="32"/>
          <w:szCs w:val="32"/>
          <w:highlight w:val="none"/>
          <w:lang w:val="en-US" w:eastAsia="zh-CN"/>
        </w:rPr>
        <w:t>建设“鹏城云脑”等高能级云计算数据中心集群、算力互联互通平台，提升跨境算力调度与远程模型部署能力。建设城市公共算力服务枢纽，向中小企业提供普惠算力服务。打造区块链即服务（BaaS）平台和通用跨链功能，助力数据跨境可信流动。建设数据流通利用基础设施，支撑数据要素流通和开发利用。</w:t>
      </w:r>
      <w:r>
        <w:rPr>
          <w:rFonts w:hint="eastAsia" w:ascii="楷体_GB2312" w:hAnsi="楷体_GB2312" w:eastAsia="楷体_GB2312" w:cs="楷体_GB2312"/>
          <w:b w:val="0"/>
          <w:bCs w:val="0"/>
          <w:sz w:val="32"/>
          <w:szCs w:val="32"/>
          <w:highlight w:val="none"/>
          <w:lang w:val="en-US" w:eastAsia="zh-CN"/>
        </w:rPr>
        <w:t>（责任单位：市委网信办、市发展改革委、市工业和信息化局、市政务服务和数据管理局，按职责分工落实，下同）</w:t>
      </w:r>
    </w:p>
    <w:p w14:paraId="35A890C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default" w:ascii="楷体_GB2312" w:hAnsi="楷体_GB2312" w:eastAsia="楷体_GB2312" w:cs="楷体_GB2312"/>
          <w:b w:val="0"/>
          <w:bCs w:val="0"/>
          <w:sz w:val="32"/>
          <w:szCs w:val="32"/>
          <w:lang w:val="en-US" w:eastAsia="zh-CN"/>
        </w:rPr>
      </w:pPr>
      <w:r>
        <w:rPr>
          <w:rFonts w:hint="eastAsia" w:ascii="仿宋_GB2312" w:hAnsi="仿宋_GB2312" w:eastAsia="仿宋_GB2312" w:cs="仿宋_GB2312"/>
          <w:b/>
          <w:bCs/>
          <w:color w:val="000000"/>
          <w:sz w:val="32"/>
          <w:szCs w:val="32"/>
          <w:lang w:val="en-US" w:eastAsia="zh-CN"/>
        </w:rPr>
        <w:t>2.加速数字基建服务出海。</w:t>
      </w:r>
      <w:r>
        <w:rPr>
          <w:rFonts w:hint="default" w:ascii="仿宋_GB2312" w:hAnsi="仿宋_GB2312" w:eastAsia="仿宋_GB2312" w:cs="仿宋_GB2312"/>
          <w:b w:val="0"/>
          <w:bCs w:val="0"/>
          <w:color w:val="000000"/>
          <w:sz w:val="32"/>
          <w:szCs w:val="32"/>
          <w:lang w:val="en-US" w:eastAsia="zh-CN"/>
        </w:rPr>
        <w:t>支持华为云、腾讯云等企业构建全球</w:t>
      </w:r>
      <w:r>
        <w:rPr>
          <w:rFonts w:hint="eastAsia" w:ascii="仿宋_GB2312" w:hAnsi="仿宋_GB2312" w:eastAsia="仿宋_GB2312" w:cs="仿宋_GB2312"/>
          <w:b w:val="0"/>
          <w:bCs w:val="0"/>
          <w:color w:val="000000"/>
          <w:sz w:val="32"/>
          <w:szCs w:val="32"/>
          <w:lang w:val="en-US" w:eastAsia="zh-CN"/>
        </w:rPr>
        <w:t>云服务和</w:t>
      </w:r>
      <w:r>
        <w:rPr>
          <w:rFonts w:hint="default" w:ascii="仿宋_GB2312" w:hAnsi="仿宋_GB2312" w:eastAsia="仿宋_GB2312" w:cs="仿宋_GB2312"/>
          <w:b w:val="0"/>
          <w:bCs w:val="0"/>
          <w:color w:val="000000"/>
          <w:sz w:val="32"/>
          <w:szCs w:val="32"/>
          <w:lang w:val="en-US" w:eastAsia="zh-CN"/>
        </w:rPr>
        <w:t>算力交付网络，承接海外数据中心</w:t>
      </w:r>
      <w:r>
        <w:rPr>
          <w:rFonts w:hint="eastAsia" w:ascii="仿宋_GB2312" w:hAnsi="仿宋_GB2312" w:eastAsia="仿宋_GB2312" w:cs="仿宋_GB2312"/>
          <w:b w:val="0"/>
          <w:bCs w:val="0"/>
          <w:color w:val="000000"/>
          <w:sz w:val="32"/>
          <w:szCs w:val="32"/>
          <w:lang w:val="en-US" w:eastAsia="zh-CN"/>
        </w:rPr>
        <w:t>规划、建设及智能化</w:t>
      </w:r>
      <w:r>
        <w:rPr>
          <w:rFonts w:hint="default" w:ascii="仿宋_GB2312" w:hAnsi="仿宋_GB2312" w:eastAsia="仿宋_GB2312" w:cs="仿宋_GB2312"/>
          <w:b w:val="0"/>
          <w:bCs w:val="0"/>
          <w:color w:val="000000"/>
          <w:sz w:val="32"/>
          <w:szCs w:val="32"/>
          <w:lang w:val="en-US" w:eastAsia="zh-CN"/>
        </w:rPr>
        <w:t>运维</w:t>
      </w:r>
      <w:r>
        <w:rPr>
          <w:rFonts w:hint="eastAsia" w:ascii="仿宋_GB2312" w:hAnsi="仿宋_GB2312" w:eastAsia="仿宋_GB2312" w:cs="仿宋_GB2312"/>
          <w:b w:val="0"/>
          <w:bCs w:val="0"/>
          <w:color w:val="000000"/>
          <w:sz w:val="32"/>
          <w:szCs w:val="32"/>
          <w:lang w:val="en-US" w:eastAsia="zh-CN"/>
        </w:rPr>
        <w:t>服务。大力发展云原生架构迁移、模型即服务（MaaS）及行业级中间件（PaaS）外包业务。</w:t>
      </w:r>
      <w:r>
        <w:rPr>
          <w:rFonts w:hint="default" w:ascii="仿宋_GB2312" w:hAnsi="仿宋_GB2312" w:eastAsia="仿宋_GB2312" w:cs="仿宋_GB2312"/>
          <w:b w:val="0"/>
          <w:bCs w:val="0"/>
          <w:color w:val="000000"/>
          <w:sz w:val="32"/>
          <w:szCs w:val="32"/>
          <w:lang w:val="en-US" w:eastAsia="zh-CN"/>
        </w:rPr>
        <w:t>培育一批数字化转型集成商，</w:t>
      </w:r>
      <w:r>
        <w:rPr>
          <w:rFonts w:hint="eastAsia" w:ascii="仿宋_GB2312" w:hAnsi="仿宋_GB2312" w:eastAsia="仿宋_GB2312" w:cs="仿宋_GB2312"/>
          <w:b w:val="0"/>
          <w:bCs w:val="0"/>
          <w:color w:val="000000"/>
          <w:sz w:val="32"/>
          <w:szCs w:val="32"/>
          <w:lang w:val="en-US" w:eastAsia="zh-CN"/>
        </w:rPr>
        <w:t>深度参与“一带一路”共建国家</w:t>
      </w:r>
      <w:r>
        <w:rPr>
          <w:rFonts w:hint="default" w:ascii="仿宋_GB2312" w:hAnsi="仿宋_GB2312" w:eastAsia="仿宋_GB2312" w:cs="仿宋_GB2312"/>
          <w:b w:val="0"/>
          <w:bCs w:val="0"/>
          <w:color w:val="000000"/>
          <w:sz w:val="32"/>
          <w:szCs w:val="32"/>
          <w:lang w:val="en-US" w:eastAsia="zh-CN"/>
        </w:rPr>
        <w:t>智慧</w:t>
      </w:r>
      <w:r>
        <w:rPr>
          <w:rFonts w:hint="eastAsia" w:ascii="仿宋_GB2312" w:hAnsi="仿宋_GB2312" w:eastAsia="仿宋_GB2312" w:cs="仿宋_GB2312"/>
          <w:b w:val="0"/>
          <w:bCs w:val="0"/>
          <w:color w:val="000000"/>
          <w:sz w:val="32"/>
          <w:szCs w:val="32"/>
          <w:lang w:val="en-US" w:eastAsia="zh-CN"/>
        </w:rPr>
        <w:t>港口</w:t>
      </w:r>
      <w:r>
        <w:rPr>
          <w:rFonts w:hint="default" w:ascii="仿宋_GB2312" w:hAnsi="仿宋_GB2312" w:eastAsia="仿宋_GB2312" w:cs="仿宋_GB2312"/>
          <w:b w:val="0"/>
          <w:bCs w:val="0"/>
          <w:color w:val="000000"/>
          <w:sz w:val="32"/>
          <w:szCs w:val="32"/>
          <w:lang w:val="en-US" w:eastAsia="zh-CN"/>
        </w:rPr>
        <w:t>、</w:t>
      </w:r>
      <w:r>
        <w:rPr>
          <w:rFonts w:hint="eastAsia" w:ascii="仿宋_GB2312" w:hAnsi="仿宋_GB2312" w:eastAsia="仿宋_GB2312" w:cs="仿宋_GB2312"/>
          <w:b w:val="0"/>
          <w:bCs w:val="0"/>
          <w:color w:val="000000"/>
          <w:sz w:val="32"/>
          <w:szCs w:val="32"/>
          <w:lang w:val="en-US" w:eastAsia="zh-CN"/>
        </w:rPr>
        <w:t>数字能源、</w:t>
      </w:r>
      <w:r>
        <w:rPr>
          <w:rFonts w:hint="default" w:ascii="仿宋_GB2312" w:hAnsi="仿宋_GB2312" w:eastAsia="仿宋_GB2312" w:cs="仿宋_GB2312"/>
          <w:b w:val="0"/>
          <w:bCs w:val="0"/>
          <w:color w:val="000000"/>
          <w:sz w:val="32"/>
          <w:szCs w:val="32"/>
          <w:lang w:val="en-US" w:eastAsia="zh-CN"/>
        </w:rPr>
        <w:t>金融级安全</w:t>
      </w:r>
      <w:r>
        <w:rPr>
          <w:rFonts w:hint="eastAsia" w:ascii="仿宋_GB2312" w:hAnsi="仿宋_GB2312" w:eastAsia="仿宋_GB2312" w:cs="仿宋_GB2312"/>
          <w:b w:val="0"/>
          <w:bCs w:val="0"/>
          <w:color w:val="000000"/>
          <w:sz w:val="32"/>
          <w:szCs w:val="32"/>
          <w:lang w:val="en-US" w:eastAsia="zh-CN"/>
        </w:rPr>
        <w:t>防御、</w:t>
      </w:r>
      <w:r>
        <w:rPr>
          <w:rFonts w:hint="default" w:ascii="仿宋_GB2312" w:hAnsi="仿宋_GB2312" w:eastAsia="仿宋_GB2312" w:cs="仿宋_GB2312"/>
          <w:b w:val="0"/>
          <w:bCs w:val="0"/>
          <w:color w:val="000000"/>
          <w:sz w:val="32"/>
          <w:szCs w:val="32"/>
          <w:lang w:val="en-US" w:eastAsia="zh-CN"/>
        </w:rPr>
        <w:t>工业互联网</w:t>
      </w:r>
      <w:r>
        <w:rPr>
          <w:rFonts w:hint="eastAsia" w:ascii="仿宋_GB2312" w:hAnsi="仿宋_GB2312" w:eastAsia="仿宋_GB2312" w:cs="仿宋_GB2312"/>
          <w:b w:val="0"/>
          <w:bCs w:val="0"/>
          <w:color w:val="000000"/>
          <w:sz w:val="32"/>
          <w:szCs w:val="32"/>
          <w:lang w:val="en-US" w:eastAsia="zh-CN"/>
        </w:rPr>
        <w:t>平台</w:t>
      </w:r>
      <w:r>
        <w:rPr>
          <w:rFonts w:hint="default" w:ascii="仿宋_GB2312" w:hAnsi="仿宋_GB2312" w:eastAsia="仿宋_GB2312" w:cs="仿宋_GB2312"/>
          <w:b w:val="0"/>
          <w:bCs w:val="0"/>
          <w:color w:val="000000"/>
          <w:sz w:val="32"/>
          <w:szCs w:val="32"/>
          <w:lang w:val="en-US" w:eastAsia="zh-CN"/>
        </w:rPr>
        <w:t>定制</w:t>
      </w:r>
      <w:r>
        <w:rPr>
          <w:rFonts w:hint="eastAsia" w:ascii="仿宋_GB2312" w:hAnsi="仿宋_GB2312" w:eastAsia="仿宋_GB2312" w:cs="仿宋_GB2312"/>
          <w:b w:val="0"/>
          <w:bCs w:val="0"/>
          <w:color w:val="000000"/>
          <w:sz w:val="32"/>
          <w:szCs w:val="32"/>
          <w:lang w:val="en-US" w:eastAsia="zh-CN"/>
        </w:rPr>
        <w:t>等数字场景定制与代维服务。</w:t>
      </w:r>
      <w:r>
        <w:rPr>
          <w:rFonts w:hint="eastAsia" w:ascii="楷体_GB2312" w:hAnsi="楷体_GB2312" w:eastAsia="楷体_GB2312" w:cs="楷体_GB2312"/>
          <w:b w:val="0"/>
          <w:bCs w:val="0"/>
          <w:sz w:val="32"/>
          <w:szCs w:val="32"/>
          <w:lang w:val="en-US" w:eastAsia="zh-CN"/>
        </w:rPr>
        <w:t>（责任单位：市委网信办、市发展改革委、市工业和信息化局、市交通运输局）</w:t>
      </w:r>
    </w:p>
    <w:p w14:paraId="776699A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楷体_GB2312" w:hAnsi="楷体_GB2312" w:eastAsia="楷体_GB2312" w:cs="楷体_GB2312"/>
          <w:b w:val="0"/>
          <w:bCs w:val="0"/>
          <w:sz w:val="32"/>
          <w:szCs w:val="32"/>
          <w:lang w:val="en-US" w:eastAsia="zh-CN"/>
        </w:rPr>
      </w:pPr>
      <w:r>
        <w:rPr>
          <w:rFonts w:hint="eastAsia" w:ascii="仿宋_GB2312" w:hAnsi="仿宋_GB2312" w:eastAsia="仿宋_GB2312" w:cs="仿宋_GB2312"/>
          <w:b/>
          <w:bCs/>
          <w:sz w:val="32"/>
          <w:szCs w:val="32"/>
          <w:lang w:val="en-US" w:eastAsia="zh-CN"/>
        </w:rPr>
        <w:t>3.培育国际数据服务全链条。</w:t>
      </w:r>
      <w:r>
        <w:rPr>
          <w:rFonts w:hint="eastAsia" w:ascii="仿宋_GB2312" w:hAnsi="仿宋_GB2312" w:eastAsia="仿宋_GB2312" w:cs="仿宋_GB2312"/>
          <w:b w:val="0"/>
          <w:bCs w:val="0"/>
          <w:sz w:val="32"/>
          <w:szCs w:val="32"/>
          <w:lang w:val="en-US" w:eastAsia="zh-CN"/>
        </w:rPr>
        <w:t>在前海合作区、河套合作区实施数据跨境流动负面清单制度。探索建设国际数据中心，在符合国家法律法规和数据安全要求的前提下，面向境外企业提供数据存储、处理及增值服务，建设国际数据服务产业园</w:t>
      </w:r>
      <w:r>
        <w:rPr>
          <w:rFonts w:hint="eastAsia" w:ascii="仿宋_GB2312" w:hAnsi="仿宋_GB2312" w:eastAsia="仿宋_GB2312" w:cs="仿宋_GB2312"/>
          <w:b w:val="0"/>
          <w:bCs w:val="0"/>
          <w:color w:val="000000"/>
          <w:sz w:val="32"/>
          <w:szCs w:val="32"/>
          <w:lang w:val="en-US" w:eastAsia="zh-CN"/>
        </w:rPr>
        <w:t>。引育采、存、洗、标、训等环节国际服务商，支持企业开展离岸数据加工、算法训练等高附加值业务。</w:t>
      </w:r>
      <w:r>
        <w:rPr>
          <w:rFonts w:hint="eastAsia" w:ascii="仿宋_GB2312" w:hAnsi="仿宋_GB2312" w:eastAsia="仿宋_GB2312" w:cs="仿宋_GB2312"/>
          <w:b w:val="0"/>
          <w:bCs w:val="0"/>
          <w:sz w:val="32"/>
          <w:szCs w:val="32"/>
          <w:lang w:val="en-US" w:eastAsia="zh-CN"/>
        </w:rPr>
        <w:t>支持</w:t>
      </w:r>
      <w:r>
        <w:rPr>
          <w:rFonts w:hint="default" w:ascii="仿宋_GB2312" w:hAnsi="仿宋_GB2312" w:eastAsia="仿宋_GB2312" w:cs="仿宋_GB2312"/>
          <w:b w:val="0"/>
          <w:bCs w:val="0"/>
          <w:color w:val="000000"/>
          <w:kern w:val="2"/>
          <w:sz w:val="32"/>
          <w:szCs w:val="32"/>
          <w:highlight w:val="none"/>
          <w:lang w:val="en-US" w:eastAsia="zh-CN" w:bidi="ar-SA"/>
        </w:rPr>
        <w:t>深圳数据交易所拓展面向全球的数据价值发现和数据服务交易功能</w:t>
      </w:r>
      <w:r>
        <w:rPr>
          <w:rFonts w:hint="eastAsia" w:ascii="仿宋_GB2312" w:hAnsi="仿宋_GB2312" w:eastAsia="仿宋_GB2312" w:cs="仿宋_GB2312"/>
          <w:b w:val="0"/>
          <w:bCs w:val="0"/>
          <w:color w:val="000000"/>
          <w:kern w:val="2"/>
          <w:sz w:val="32"/>
          <w:szCs w:val="32"/>
          <w:highlight w:val="none"/>
          <w:lang w:val="en-US" w:eastAsia="zh-CN" w:bidi="ar-SA"/>
        </w:rPr>
        <w:t>。</w:t>
      </w:r>
      <w:r>
        <w:rPr>
          <w:rFonts w:hint="eastAsia" w:ascii="仿宋_GB2312" w:hAnsi="仿宋_GB2312" w:eastAsia="仿宋_GB2312" w:cs="仿宋_GB2312"/>
          <w:b w:val="0"/>
          <w:bCs w:val="0"/>
          <w:color w:val="000000"/>
          <w:sz w:val="32"/>
          <w:szCs w:val="32"/>
          <w:lang w:val="en-US" w:eastAsia="zh-CN"/>
        </w:rPr>
        <w:t>深化数据要素资产化试点，建立与国际接轨的数据确权与保护体系。</w:t>
      </w:r>
      <w:r>
        <w:rPr>
          <w:rFonts w:hint="eastAsia" w:ascii="楷体_GB2312" w:hAnsi="楷体_GB2312" w:eastAsia="楷体_GB2312" w:cs="楷体_GB2312"/>
          <w:b w:val="0"/>
          <w:bCs w:val="0"/>
          <w:sz w:val="32"/>
          <w:szCs w:val="32"/>
          <w:lang w:val="en-US" w:eastAsia="zh-CN"/>
        </w:rPr>
        <w:t>（责任单位：市委网信办、市发展改革委、市政务服务和数据管理局、市市场监管局、市投资促进局、市前海管理局、河套发展署）</w:t>
      </w:r>
    </w:p>
    <w:p w14:paraId="50F28F5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default" w:ascii="楷体_GB2312" w:hAnsi="楷体_GB2312" w:eastAsia="楷体_GB2312" w:cs="楷体_GB2312"/>
          <w:b w:val="0"/>
          <w:bCs w:val="0"/>
          <w:sz w:val="32"/>
          <w:szCs w:val="32"/>
          <w:lang w:val="en-US" w:eastAsia="zh-CN"/>
        </w:rPr>
      </w:pPr>
      <w:r>
        <w:rPr>
          <w:rFonts w:hint="eastAsia" w:ascii="仿宋_GB2312" w:hAnsi="仿宋_GB2312" w:eastAsia="仿宋_GB2312" w:cs="仿宋_GB2312"/>
          <w:b/>
          <w:bCs/>
          <w:color w:val="000000"/>
          <w:sz w:val="32"/>
          <w:szCs w:val="32"/>
          <w:lang w:val="en-US" w:eastAsia="zh-CN"/>
        </w:rPr>
        <w:t>4.强化国际规则和标准对接。</w:t>
      </w:r>
      <w:r>
        <w:rPr>
          <w:rFonts w:hint="eastAsia" w:ascii="仿宋_GB2312" w:hAnsi="仿宋_GB2312" w:eastAsia="仿宋_GB2312" w:cs="仿宋_GB2312"/>
          <w:b w:val="0"/>
          <w:bCs w:val="0"/>
          <w:color w:val="000000"/>
          <w:sz w:val="32"/>
          <w:szCs w:val="32"/>
          <w:lang w:val="en-US" w:eastAsia="zh-CN"/>
        </w:rPr>
        <w:t>支持前海合作区对接《全面与进步跨太平洋伙伴关系协定》（CPTPP）、《数字经济伙伴关系协定》（DEPA）等国际高标准经贸规则，创新数字贸易国际合作场景。支持深圳企业、科研机构积极参与生成式人工智能伦理框架、跨境数据可信传输协议、隐私计算安全审计等前沿领域国际标准制定。</w:t>
      </w:r>
      <w:r>
        <w:rPr>
          <w:rFonts w:hint="eastAsia" w:ascii="楷体_GB2312" w:hAnsi="楷体_GB2312" w:eastAsia="楷体_GB2312" w:cs="楷体_GB2312"/>
          <w:b w:val="0"/>
          <w:bCs w:val="0"/>
          <w:sz w:val="32"/>
          <w:szCs w:val="32"/>
          <w:lang w:val="en-US" w:eastAsia="zh-CN"/>
        </w:rPr>
        <w:t>（责任单位：市委网信办、市发展改革委、市工业和信息化局、市政务和数据局、市商务局、市市场监管局、市前海管理局）</w:t>
      </w:r>
    </w:p>
    <w:p w14:paraId="6BD67B2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楷体_GB2312" w:hAnsi="楷体_GB2312" w:eastAsia="楷体_GB2312" w:cs="楷体_GB2312"/>
          <w:b w:val="0"/>
          <w:bCs w:val="0"/>
          <w:sz w:val="32"/>
          <w:szCs w:val="32"/>
          <w:lang w:val="en-US" w:eastAsia="zh-CN"/>
        </w:rPr>
      </w:pPr>
      <w:r>
        <w:rPr>
          <w:rFonts w:hint="eastAsia" w:ascii="楷体_GB2312" w:hAnsi="楷体_GB2312" w:eastAsia="楷体_GB2312" w:cs="楷体_GB2312"/>
          <w:b w:val="0"/>
          <w:bCs w:val="0"/>
          <w:sz w:val="32"/>
          <w:szCs w:val="32"/>
          <w:lang w:val="en-US" w:eastAsia="zh-CN"/>
        </w:rPr>
        <w:t>（二）实施“优势服务领域”提升行动，提升产业核心竞争力</w:t>
      </w:r>
    </w:p>
    <w:p w14:paraId="282E02F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楷体_GB2312" w:hAnsi="楷体_GB2312" w:eastAsia="楷体_GB2312" w:cs="楷体_GB2312"/>
          <w:b w:val="0"/>
          <w:bCs w:val="0"/>
          <w:sz w:val="32"/>
          <w:szCs w:val="32"/>
          <w:lang w:val="en-US" w:eastAsia="zh-CN"/>
        </w:rPr>
      </w:pPr>
      <w:r>
        <w:rPr>
          <w:rFonts w:hint="eastAsia" w:ascii="仿宋_GB2312" w:hAnsi="仿宋_GB2312" w:eastAsia="仿宋_GB2312" w:cs="仿宋_GB2312"/>
          <w:b/>
          <w:bCs/>
          <w:sz w:val="32"/>
          <w:szCs w:val="32"/>
          <w:highlight w:val="none"/>
          <w:lang w:val="en-US" w:eastAsia="zh-CN"/>
        </w:rPr>
        <w:t>5.增强信息技术外包全球接包能力。</w:t>
      </w:r>
      <w:r>
        <w:rPr>
          <w:rFonts w:hint="eastAsia" w:ascii="仿宋_GB2312" w:hAnsi="仿宋_GB2312" w:eastAsia="仿宋_GB2312" w:cs="仿宋_GB2312"/>
          <w:b w:val="0"/>
          <w:bCs w:val="0"/>
          <w:sz w:val="32"/>
          <w:szCs w:val="32"/>
          <w:highlight w:val="none"/>
          <w:lang w:val="en-US" w:eastAsia="zh-CN"/>
        </w:rPr>
        <w:t>强化信创生态外包能力，支持企业基于鸿蒙、欧拉等国产操作系统，面向全球提供生态定制、迁移适配及技术支持外包服务。鼓励龙头企业在海外设立信创技术支持中心，提升本地化交付能力。积极发展</w:t>
      </w:r>
      <w:r>
        <w:rPr>
          <w:rFonts w:hint="eastAsia" w:ascii="仿宋_GB2312" w:hAnsi="仿宋_GB2312" w:eastAsia="仿宋_GB2312" w:cs="仿宋_GB2312"/>
          <w:b w:val="0"/>
          <w:bCs w:val="0"/>
          <w:color w:val="000000"/>
          <w:sz w:val="32"/>
          <w:szCs w:val="32"/>
          <w:lang w:val="en-US" w:eastAsia="zh-CN"/>
        </w:rPr>
        <w:t>集成电路EDA设计外包、工业软件嵌入式开发、AI大模型微调、区块链存证及金融科技等高附加值信息技术外包业务。依托深圳科技园等载体，培育一批具备全球交付能力的开源项目托管、代码审核及技术支持外包机构，布局开源经济外包新赛道。</w:t>
      </w:r>
      <w:r>
        <w:rPr>
          <w:rFonts w:hint="eastAsia" w:ascii="楷体_GB2312" w:hAnsi="楷体_GB2312" w:eastAsia="楷体_GB2312" w:cs="楷体_GB2312"/>
          <w:b w:val="0"/>
          <w:bCs w:val="0"/>
          <w:sz w:val="32"/>
          <w:szCs w:val="32"/>
          <w:lang w:val="en-US" w:eastAsia="zh-CN"/>
        </w:rPr>
        <w:t>（责任单位：市科技创新局、市工业和信息化局、市商务局、市地方金融管理局）</w:t>
      </w:r>
    </w:p>
    <w:p w14:paraId="31ADD02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default" w:ascii="楷体_GB2312" w:hAnsi="楷体_GB2312" w:eastAsia="楷体_GB2312" w:cs="楷体_GB2312"/>
          <w:b w:val="0"/>
          <w:bCs w:val="0"/>
          <w:sz w:val="32"/>
          <w:szCs w:val="32"/>
          <w:lang w:val="en-US" w:eastAsia="zh-CN"/>
        </w:rPr>
      </w:pPr>
      <w:r>
        <w:rPr>
          <w:rFonts w:hint="eastAsia" w:ascii="仿宋_GB2312" w:hAnsi="仿宋_GB2312" w:eastAsia="仿宋_GB2312" w:cs="仿宋_GB2312"/>
          <w:b/>
          <w:bCs/>
          <w:sz w:val="32"/>
          <w:szCs w:val="32"/>
          <w:lang w:val="en-US" w:eastAsia="zh-CN"/>
        </w:rPr>
        <w:t>6.增强设计与文创外包国际议价权。</w:t>
      </w:r>
      <w:r>
        <w:rPr>
          <w:rFonts w:hint="eastAsia" w:ascii="仿宋_GB2312" w:hAnsi="仿宋_GB2312" w:eastAsia="仿宋_GB2312" w:cs="仿宋_GB2312"/>
          <w:b w:val="0"/>
          <w:bCs w:val="0"/>
          <w:color w:val="000000"/>
          <w:sz w:val="32"/>
          <w:szCs w:val="32"/>
          <w:lang w:val="en-US" w:eastAsia="zh-CN"/>
        </w:rPr>
        <w:t>支持搭建工业设计、时尚创意全球云端协同研发平台，发展众包设计与参与式设计。在智能终端、智能穿戴、黄金珠宝等领域培育具备国际议价权的设计中心，</w:t>
      </w:r>
      <w:r>
        <w:rPr>
          <w:rFonts w:hint="eastAsia" w:ascii="仿宋_GB2312" w:hAnsi="仿宋_GB2312" w:eastAsia="仿宋_GB2312" w:cs="仿宋_GB2312"/>
          <w:i w:val="0"/>
          <w:iCs w:val="0"/>
          <w:caps w:val="0"/>
          <w:color w:val="000000"/>
          <w:spacing w:val="0"/>
          <w:sz w:val="32"/>
          <w:szCs w:val="32"/>
          <w:shd w:val="clear" w:fill="auto"/>
        </w:rPr>
        <w:t>鼓励企业参与国际设计奖项评选和行业标准制定</w:t>
      </w:r>
      <w:r>
        <w:rPr>
          <w:rFonts w:hint="eastAsia" w:ascii="仿宋_GB2312" w:hAnsi="仿宋_GB2312" w:eastAsia="仿宋_GB2312" w:cs="仿宋_GB2312"/>
          <w:b w:val="0"/>
          <w:bCs w:val="0"/>
          <w:color w:val="000000"/>
          <w:sz w:val="32"/>
          <w:szCs w:val="32"/>
          <w:lang w:val="en-US" w:eastAsia="zh-CN"/>
        </w:rPr>
        <w:t>。实施文化贸易“千帆出海”，重点发展游戏、动漫、短剧等原创IP的多语种本地化制作、发行运营及合规咨询等全链条服务外包。鼓励企业从承接海外IP的代开发、代运营业务，逐步转向自主IP的全球授权与运营，探索IP分账、版权授权等更高附加值模式。（</w:t>
      </w:r>
      <w:r>
        <w:rPr>
          <w:rFonts w:hint="eastAsia" w:ascii="楷体_GB2312" w:hAnsi="楷体_GB2312" w:eastAsia="楷体_GB2312" w:cs="楷体_GB2312"/>
          <w:b w:val="0"/>
          <w:bCs w:val="0"/>
          <w:sz w:val="32"/>
          <w:szCs w:val="32"/>
          <w:lang w:val="en-US" w:eastAsia="zh-CN"/>
        </w:rPr>
        <w:t>责任单位：市工业和信息化局、市商务局、市文化广电旅游体育局、市市场监管局、市委宣传部）</w:t>
      </w:r>
    </w:p>
    <w:p w14:paraId="6AD67AC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default" w:ascii="楷体_GB2312" w:hAnsi="楷体_GB2312" w:eastAsia="楷体_GB2312" w:cs="楷体_GB2312"/>
          <w:b w:val="0"/>
          <w:bCs w:val="0"/>
          <w:sz w:val="32"/>
          <w:szCs w:val="32"/>
          <w:lang w:val="en-US" w:eastAsia="zh-CN"/>
        </w:rPr>
      </w:pPr>
      <w:r>
        <w:rPr>
          <w:rFonts w:hint="eastAsia" w:ascii="楷体_GB2312" w:hAnsi="楷体_GB2312" w:eastAsia="楷体_GB2312" w:cs="楷体_GB2312"/>
          <w:b/>
          <w:bCs/>
          <w:sz w:val="32"/>
          <w:szCs w:val="32"/>
          <w:lang w:val="en-US" w:eastAsia="zh-CN"/>
        </w:rPr>
        <w:t>7</w:t>
      </w:r>
      <w:r>
        <w:rPr>
          <w:rFonts w:hint="eastAsia" w:ascii="仿宋_GB2312" w:hAnsi="仿宋_GB2312" w:eastAsia="仿宋_GB2312" w:cs="仿宋_GB2312"/>
          <w:b/>
          <w:bCs/>
          <w:sz w:val="32"/>
          <w:szCs w:val="32"/>
          <w:lang w:val="en-US" w:eastAsia="zh-CN"/>
        </w:rPr>
        <w:t>.升级业务流程外包能级</w:t>
      </w:r>
      <w:r>
        <w:rPr>
          <w:rFonts w:hint="eastAsia" w:ascii="仿宋_GB2312" w:hAnsi="仿宋_GB2312" w:eastAsia="仿宋_GB2312" w:cs="仿宋_GB2312"/>
          <w:sz w:val="32"/>
          <w:szCs w:val="32"/>
          <w:lang w:val="en-US" w:eastAsia="zh-CN"/>
        </w:rPr>
        <w:t>。引进跨国公司和行业领军企业在深设立全球或区域性研发中心、共享服务中心（SSC）、财务管理中心</w:t>
      </w:r>
      <w:r>
        <w:rPr>
          <w:rFonts w:hint="eastAsia" w:ascii="仿宋_GB2312" w:hAnsi="仿宋_GB2312" w:eastAsia="仿宋_GB2312" w:cs="仿宋_GB2312"/>
          <w:b w:val="0"/>
          <w:bCs w:val="0"/>
          <w:sz w:val="32"/>
          <w:szCs w:val="32"/>
          <w:lang w:val="en-US" w:eastAsia="zh-CN"/>
        </w:rPr>
        <w:t>。做强跨境电商全链路外包，培育一批覆盖品牌策划、全球精准营销、合规咨询、供应链管理等环节的全链路外包龙头企业。推动业务流程外包与AI、大数据深度融合，发展智能客服、智能财务、智慧供应链管理等数字化业务流程外包新业态。推动法律、会计、咨询、运输、广告等领域的业务流程外包企业和机构“跟随出海”，加快培育有国际影响力的服务品牌。重点发展金融后台服务、人力资源外包、数据分析服务等知识密集型业务流程外包业务，支持检验检测认证机构合规开展跨境服务外包业务。</w:t>
      </w:r>
      <w:r>
        <w:rPr>
          <w:rFonts w:hint="eastAsia" w:ascii="楷体_GB2312" w:hAnsi="楷体_GB2312" w:eastAsia="楷体_GB2312" w:cs="楷体_GB2312"/>
          <w:b w:val="0"/>
          <w:bCs w:val="0"/>
          <w:sz w:val="32"/>
          <w:szCs w:val="32"/>
          <w:lang w:val="en-US" w:eastAsia="zh-CN"/>
        </w:rPr>
        <w:t>（责任单位：市发展改革委、市工业和信息化局、市司法局、市财政局、市人力资源保障局、市交通运输局、市商务局、市政务服务和数据管理局、市市场监管局、市地方金融管理局、市投资促进局）</w:t>
      </w:r>
    </w:p>
    <w:p w14:paraId="4771FFF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楷体_GB2312" w:hAnsi="楷体_GB2312" w:eastAsia="楷体_GB2312" w:cs="楷体_GB2312"/>
          <w:b w:val="0"/>
          <w:bCs w:val="0"/>
          <w:sz w:val="32"/>
          <w:szCs w:val="32"/>
          <w:lang w:val="en-US" w:eastAsia="zh-CN"/>
        </w:rPr>
      </w:pPr>
      <w:r>
        <w:rPr>
          <w:rFonts w:hint="eastAsia" w:ascii="楷体_GB2312" w:hAnsi="楷体_GB2312" w:eastAsia="楷体_GB2312" w:cs="楷体_GB2312"/>
          <w:b w:val="0"/>
          <w:bCs w:val="0"/>
          <w:sz w:val="32"/>
          <w:szCs w:val="32"/>
          <w:lang w:val="en-US" w:eastAsia="zh-CN"/>
        </w:rPr>
        <w:t>（三）实施“特色产业集群”拓潜行动，打造硬核增长极</w:t>
      </w:r>
    </w:p>
    <w:p w14:paraId="13B4B9ED">
      <w:pPr>
        <w:keepNext w:val="0"/>
        <w:keepLines w:val="0"/>
        <w:pageBreakBefore w:val="0"/>
        <w:widowControl w:val="0"/>
        <w:kinsoku/>
        <w:wordWrap/>
        <w:overflowPunct/>
        <w:topLinePunct w:val="0"/>
        <w:autoSpaceDE/>
        <w:autoSpaceDN/>
        <w:bidi w:val="0"/>
        <w:adjustRightInd/>
        <w:snapToGrid w:val="0"/>
        <w:spacing w:line="560" w:lineRule="exact"/>
        <w:ind w:firstLine="643"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8.</w:t>
      </w:r>
      <w:r>
        <w:rPr>
          <w:rFonts w:hint="eastAsia" w:ascii="仿宋_GB2312" w:hAnsi="仿宋_GB2312" w:eastAsia="仿宋_GB2312" w:cs="仿宋_GB2312"/>
          <w:b/>
          <w:bCs/>
          <w:color w:val="000000"/>
          <w:kern w:val="2"/>
          <w:sz w:val="32"/>
          <w:szCs w:val="32"/>
          <w:highlight w:val="none"/>
          <w:lang w:val="en-US" w:eastAsia="zh-CN" w:bidi="ar-SA"/>
        </w:rPr>
        <w:t>打造跨境生物医药研发服务高地。</w:t>
      </w:r>
      <w:r>
        <w:rPr>
          <w:rFonts w:hint="eastAsia" w:ascii="仿宋_GB2312" w:hAnsi="仿宋_GB2312" w:eastAsia="仿宋_GB2312" w:cs="仿宋_GB2312"/>
          <w:sz w:val="32"/>
          <w:szCs w:val="32"/>
          <w:lang w:val="en-US" w:eastAsia="zh-CN"/>
        </w:rPr>
        <w:t>吸引全球顶尖研发服务商在深设立区域总部和交付中心，探索发展离岸基因测序分析、小分子创新药筛选及细胞与基因治疗等高端研发外包业务。支持本土合作研究外包（CRO）企业通过国际认证，提升承接全球多中心临床试验外包项目的能力。支持企业承接香港及国际药企的研发环节外包订单，探索“深港研发、深圳转化”的跨境服务外包协同机制。试点临床研究物资保税监管与快速通关，简化研发用样本样品、实验设备进出境手续。（</w:t>
      </w:r>
      <w:r>
        <w:rPr>
          <w:rFonts w:hint="eastAsia" w:ascii="楷体_GB2312" w:hAnsi="楷体_GB2312" w:eastAsia="楷体_GB2312" w:cs="楷体_GB2312"/>
          <w:b w:val="0"/>
          <w:bCs w:val="0"/>
          <w:sz w:val="32"/>
          <w:szCs w:val="32"/>
          <w:lang w:val="en-US" w:eastAsia="zh-CN"/>
        </w:rPr>
        <w:t>责任单位：市发展改革委、市科技创新局、市市场监管局、市投资促进局、市前海管理局、河套发展署）</w:t>
      </w:r>
    </w:p>
    <w:p w14:paraId="7524638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楷体_GB2312" w:hAnsi="楷体_GB2312" w:eastAsia="楷体_GB2312" w:cs="楷体_GB2312"/>
          <w:b w:val="0"/>
          <w:bCs w:val="0"/>
          <w:sz w:val="32"/>
          <w:szCs w:val="32"/>
          <w:lang w:val="en-US" w:eastAsia="zh-CN"/>
        </w:rPr>
      </w:pPr>
      <w:r>
        <w:rPr>
          <w:rFonts w:hint="eastAsia" w:ascii="仿宋_GB2312" w:hAnsi="仿宋_GB2312" w:eastAsia="仿宋_GB2312" w:cs="仿宋_GB2312"/>
          <w:b/>
          <w:bCs/>
          <w:sz w:val="32"/>
          <w:szCs w:val="32"/>
          <w:lang w:val="en-US" w:eastAsia="zh-CN"/>
        </w:rPr>
        <w:t>9.培育低空经济和智能车研外包增长极。</w:t>
      </w:r>
      <w:r>
        <w:rPr>
          <w:rFonts w:hint="eastAsia" w:ascii="仿宋_GB2312" w:hAnsi="仿宋_GB2312" w:eastAsia="仿宋_GB2312" w:cs="仿宋_GB2312"/>
          <w:b w:val="0"/>
          <w:bCs w:val="0"/>
          <w:sz w:val="32"/>
          <w:szCs w:val="32"/>
          <w:lang w:val="en-US" w:eastAsia="zh-CN"/>
        </w:rPr>
        <w:t>做强低空经济研发外包，支持大疆等领军企业承接海外低空管控系统开发、飞控算法优化、离岸飞控数据处理业务等高附加值业务。支持在龙华、坪山等地发展低空经济产业配套服务。依托智能网联汽车链主企业，承接动力电池管理系统（BMS）算法、热失控预测模型、电控底层软件等高壁垒研发外包订单。拓展智能座舱本地化工程服务，为国际车企提供人机交互接口（HMI）开发、多语种语音算法训练、系统适配等一站式外包服务。支持在坪山、南山等地建设离岸研发交付中心，面向全球主流整车厂承接仿真测试、数据标注、检测认证等研发外包业务。</w:t>
      </w:r>
      <w:r>
        <w:rPr>
          <w:rFonts w:hint="eastAsia" w:ascii="楷体_GB2312" w:hAnsi="楷体_GB2312" w:eastAsia="楷体_GB2312" w:cs="楷体_GB2312"/>
          <w:b w:val="0"/>
          <w:bCs w:val="0"/>
          <w:sz w:val="32"/>
          <w:szCs w:val="32"/>
          <w:lang w:val="en-US" w:eastAsia="zh-CN"/>
        </w:rPr>
        <w:t>（责任单位：市发展改革委、市工业和信息化局、市交通运输局、龙华区、坪山区、南山区）</w:t>
      </w:r>
    </w:p>
    <w:p w14:paraId="43EBAD5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楷体_GB2312" w:hAnsi="楷体_GB2312" w:eastAsia="楷体_GB2312" w:cs="楷体_GB2312"/>
          <w:b w:val="0"/>
          <w:bCs w:val="0"/>
          <w:sz w:val="32"/>
          <w:szCs w:val="32"/>
          <w:lang w:val="en-US" w:eastAsia="zh-CN"/>
        </w:rPr>
      </w:pPr>
      <w:r>
        <w:rPr>
          <w:rFonts w:hint="eastAsia" w:ascii="仿宋_GB2312" w:hAnsi="仿宋_GB2312" w:eastAsia="仿宋_GB2312" w:cs="仿宋_GB2312"/>
          <w:b/>
          <w:bCs/>
          <w:sz w:val="32"/>
          <w:szCs w:val="32"/>
          <w:lang w:val="en-US" w:eastAsia="zh-CN"/>
        </w:rPr>
        <w:t>10.深度推进“制造+服务”产业链融合发展。</w:t>
      </w:r>
      <w:r>
        <w:rPr>
          <w:rFonts w:hint="eastAsia" w:ascii="仿宋_GB2312" w:hAnsi="仿宋_GB2312" w:eastAsia="仿宋_GB2312" w:cs="仿宋_GB2312"/>
          <w:b w:val="0"/>
          <w:bCs w:val="0"/>
          <w:sz w:val="32"/>
          <w:szCs w:val="32"/>
          <w:lang w:val="en-US" w:eastAsia="zh-CN"/>
        </w:rPr>
        <w:t>支持华为、比亚迪、大疆等“链主”剥离非核心研发设计、供应链管理、全球售后维保等业务，培育一批具备独立接包能力的生产性服务外包领军企业。提升全球维修发展能级，依托我市综合保税区（保税区）开展智能终端、新能源汽车核心部件、高端医疗器械等高附加值产品“两头在外”维修业务。推动将更多深圳自主品牌产品纳入综合保税区维修产品目录，支持企业承接“全球修”订单。积极发展海</w:t>
      </w:r>
      <w:bookmarkStart w:id="0" w:name="_GoBack"/>
      <w:bookmarkEnd w:id="0"/>
      <w:r>
        <w:rPr>
          <w:rFonts w:hint="eastAsia" w:ascii="仿宋_GB2312" w:hAnsi="仿宋_GB2312" w:eastAsia="仿宋_GB2312" w:cs="仿宋_GB2312"/>
          <w:b w:val="0"/>
          <w:bCs w:val="0"/>
          <w:sz w:val="32"/>
          <w:szCs w:val="32"/>
          <w:lang w:val="en-US" w:eastAsia="zh-CN"/>
        </w:rPr>
        <w:t>关特殊监管区域外高技术产品保税维修业务</w:t>
      </w:r>
      <w:r>
        <w:rPr>
          <w:rFonts w:hint="eastAsia" w:ascii="仿宋_GB2312" w:hAnsi="Times New Roman" w:eastAsia="仿宋_GB2312" w:cs="仿宋_GB2312"/>
          <w:color w:val="000000"/>
          <w:kern w:val="32"/>
          <w:sz w:val="32"/>
          <w:szCs w:val="32"/>
          <w:highlight w:val="none"/>
          <w:u w:val="none"/>
          <w:lang w:val="en-US" w:eastAsia="zh-CN" w:bidi="ar"/>
        </w:rPr>
        <w:t>，争取先行先试开展综合保税区外保税检测试点，鼓励企业面向全球客户提供从研发设计到测试验证的全链条外包服务。应用</w:t>
      </w:r>
      <w:r>
        <w:rPr>
          <w:rFonts w:hint="eastAsia" w:ascii="仿宋_GB2312" w:hAnsi="仿宋_GB2312" w:eastAsia="仿宋_GB2312" w:cs="仿宋_GB2312"/>
          <w:b w:val="0"/>
          <w:bCs w:val="0"/>
          <w:sz w:val="32"/>
          <w:szCs w:val="32"/>
          <w:lang w:val="en-US" w:eastAsia="zh-CN"/>
        </w:rPr>
        <w:t>数字孪生与云原生技术，探索发展远程精密调试、预测性维护等外包服务。</w:t>
      </w:r>
      <w:r>
        <w:rPr>
          <w:rFonts w:hint="eastAsia" w:ascii="楷体_GB2312" w:hAnsi="楷体_GB2312" w:eastAsia="楷体_GB2312" w:cs="楷体_GB2312"/>
          <w:b w:val="0"/>
          <w:bCs w:val="0"/>
          <w:sz w:val="32"/>
          <w:szCs w:val="32"/>
          <w:lang w:val="en-US" w:eastAsia="zh-CN"/>
        </w:rPr>
        <w:t>（责任单位：市工业和信息化局、市商务局、市前海管理局、深圳海关、南山区、坪山区、盐田区）</w:t>
      </w:r>
    </w:p>
    <w:p w14:paraId="595AE5EF">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eastAsia" w:ascii="楷体_GB2312" w:hAnsi="楷体_GB2312" w:eastAsia="楷体_GB2312" w:cs="楷体_GB2312"/>
          <w:b w:val="0"/>
          <w:bCs w:val="0"/>
          <w:sz w:val="32"/>
          <w:szCs w:val="32"/>
          <w:lang w:val="en-US" w:eastAsia="zh-CN"/>
        </w:rPr>
      </w:pPr>
      <w:r>
        <w:rPr>
          <w:rFonts w:hint="eastAsia" w:ascii="楷体_GB2312" w:hAnsi="楷体_GB2312" w:eastAsia="楷体_GB2312" w:cs="楷体_GB2312"/>
          <w:b w:val="0"/>
          <w:bCs w:val="0"/>
          <w:sz w:val="32"/>
          <w:szCs w:val="32"/>
          <w:lang w:val="en-US" w:eastAsia="zh-CN"/>
        </w:rPr>
        <w:t>（四）实施“主体载体能级”提升行动，增强全球交付与市场竞争力</w:t>
      </w:r>
    </w:p>
    <w:p w14:paraId="776C542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default" w:ascii="仿宋_GB2312" w:hAnsi="仿宋_GB2312" w:eastAsia="仿宋_GB2312" w:cs="仿宋_GB2312"/>
          <w:b w:val="0"/>
          <w:bCs w:val="0"/>
          <w:sz w:val="32"/>
          <w:szCs w:val="32"/>
          <w:lang w:val="en-US" w:eastAsia="zh-CN"/>
        </w:rPr>
      </w:pPr>
      <w:r>
        <w:rPr>
          <w:rFonts w:hint="eastAsia" w:ascii="仿宋_GB2312" w:hAnsi="仿宋_GB2312" w:eastAsia="仿宋_GB2312" w:cs="仿宋_GB2312"/>
          <w:b/>
          <w:bCs/>
          <w:sz w:val="32"/>
          <w:szCs w:val="32"/>
          <w:lang w:val="en-US" w:eastAsia="zh-CN"/>
        </w:rPr>
        <w:t>11.梯度培育领军企业。</w:t>
      </w:r>
      <w:r>
        <w:rPr>
          <w:rFonts w:hint="eastAsia" w:ascii="仿宋_GB2312" w:hAnsi="仿宋_GB2312" w:eastAsia="仿宋_GB2312" w:cs="仿宋_GB2312"/>
          <w:b w:val="0"/>
          <w:bCs w:val="0"/>
          <w:sz w:val="32"/>
          <w:szCs w:val="32"/>
          <w:lang w:val="en-US" w:eastAsia="zh-CN"/>
        </w:rPr>
        <w:t>鼓励数字化领域链主企业开放生态资源，通过开放应用场景、共享海外渠道、联合参与国际投标等方式，带动底座软件、工业设计、系统集成等上下游企业“组团出海”。支持链主企业构建全球供应链管理中心，提升对海外配套服务商的集成管控能力。重点支持一批具有核心技术、国际客户基础的高成长企业，鼓励企业获取CMMI、ISO27001、SOC等国际资质认证，鼓励高成长企业深度融入链主企业生态，参与链主企业的全球交付体系。用好中央和市级资金，对符合条件的外包企业予以资金、融资等方面支持。</w:t>
      </w:r>
      <w:r>
        <w:rPr>
          <w:rFonts w:hint="eastAsia" w:ascii="楷体_GB2312" w:hAnsi="楷体_GB2312" w:eastAsia="楷体_GB2312" w:cs="楷体_GB2312"/>
          <w:b w:val="0"/>
          <w:bCs w:val="0"/>
          <w:sz w:val="32"/>
          <w:szCs w:val="32"/>
          <w:lang w:val="en-US" w:eastAsia="zh-CN"/>
        </w:rPr>
        <w:t>（责任单位：市工业和信息化局、市交通运输局、市商务局、市地方金融管理局）</w:t>
      </w:r>
    </w:p>
    <w:p w14:paraId="5805C78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12.优化园区布局与服务生态</w:t>
      </w:r>
      <w:r>
        <w:rPr>
          <w:rFonts w:hint="eastAsia" w:ascii="仿宋_GB2312" w:hAnsi="仿宋_GB2312" w:eastAsia="仿宋_GB2312" w:cs="仿宋_GB2312"/>
          <w:sz w:val="32"/>
          <w:szCs w:val="32"/>
          <w:lang w:val="en-US" w:eastAsia="zh-CN"/>
        </w:rPr>
        <w:t>。强化前海合作区、河套合作区、南山软件园、坂田华为基地等重点片区的集聚效应，打造服务外包高端要素集聚区。支持各区结合产业基础建设个性化、差异化的外包服务园区。结合城市更新，加快园区数字化基础设施建设，集约化配置高带宽网络与公共算力资源。鼓励园区配套国际路演、离岸合规咨询、远程协作实验室等优质要素。支持行业协会、专业智库及法律合规机构增强其在政策研究、国际认证、出口促进及海外维权等领域的支撑作用。</w:t>
      </w:r>
      <w:r>
        <w:rPr>
          <w:rFonts w:hint="eastAsia" w:ascii="楷体_GB2312" w:hAnsi="楷体_GB2312" w:eastAsia="楷体_GB2312" w:cs="楷体_GB2312"/>
          <w:b w:val="0"/>
          <w:bCs w:val="0"/>
          <w:sz w:val="32"/>
          <w:szCs w:val="32"/>
          <w:lang w:val="en-US" w:eastAsia="zh-CN"/>
        </w:rPr>
        <w:t>（责任单位：市工业和信息化局、市民政局、市司法局、市住房建设局、市商务局、市前海管理局、河套发展署、南山区、龙岗区，各区）</w:t>
      </w:r>
    </w:p>
    <w:p w14:paraId="0D11927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default" w:ascii="仿宋_GB2312" w:hAnsi="仿宋_GB2312" w:eastAsia="仿宋_GB2312" w:cs="仿宋_GB2312"/>
          <w:b w:val="0"/>
          <w:bCs w:val="0"/>
          <w:sz w:val="32"/>
          <w:szCs w:val="32"/>
          <w:highlight w:val="yellow"/>
          <w:lang w:val="en-US" w:eastAsia="zh-CN"/>
        </w:rPr>
      </w:pPr>
      <w:r>
        <w:rPr>
          <w:rFonts w:hint="eastAsia" w:ascii="仿宋_GB2312" w:hAnsi="仿宋_GB2312" w:eastAsia="仿宋_GB2312" w:cs="仿宋_GB2312"/>
          <w:b/>
          <w:bCs/>
          <w:sz w:val="32"/>
          <w:szCs w:val="32"/>
          <w:lang w:val="en-US" w:eastAsia="zh-CN"/>
        </w:rPr>
        <w:t>13.多元化拓展服务外包全球接单渠道。</w:t>
      </w:r>
      <w:r>
        <w:rPr>
          <w:rFonts w:hint="eastAsia" w:ascii="仿宋_GB2312" w:hAnsi="仿宋_GB2312" w:eastAsia="仿宋_GB2312" w:cs="仿宋_GB2312"/>
          <w:sz w:val="32"/>
          <w:szCs w:val="32"/>
          <w:lang w:val="en-US" w:eastAsia="zh-CN"/>
        </w:rPr>
        <w:t>支持服务外包企业在东盟、中东、拉美、中亚及金砖国家等重点地区设立海外交付中心、研发分支及售后服务网点，</w:t>
      </w:r>
      <w:r>
        <w:rPr>
          <w:rFonts w:hint="eastAsia" w:ascii="仿宋_GB2312" w:hAnsi="仿宋_GB2312" w:eastAsia="仿宋_GB2312" w:cs="仿宋_GB2312"/>
          <w:i w:val="0"/>
          <w:iCs w:val="0"/>
          <w:caps w:val="0"/>
          <w:spacing w:val="0"/>
          <w:sz w:val="32"/>
          <w:szCs w:val="32"/>
          <w:shd w:val="clear"/>
        </w:rPr>
        <w:t>提升近岸交付和本地化服务能力</w:t>
      </w:r>
      <w:r>
        <w:rPr>
          <w:rFonts w:hint="eastAsia" w:ascii="仿宋_GB2312" w:hAnsi="仿宋_GB2312" w:eastAsia="仿宋_GB2312" w:cs="仿宋_GB2312"/>
          <w:sz w:val="32"/>
          <w:szCs w:val="32"/>
          <w:lang w:val="en-US" w:eastAsia="zh-CN"/>
        </w:rPr>
        <w:t>。鼓励企业通过并购、合资等方式获取海外接单渠道和客户资源。鼓励领军企业面向全球发布研发需求，通过离岸发包、跨国协同实现全球智力资源集成。鼓励中小企业通过平台化接包、众包等方式参与全球分工。支持企业境外办展，培育境外自主办展品牌，助力企业开拓国际市场。</w:t>
      </w:r>
      <w:r>
        <w:rPr>
          <w:rFonts w:hint="eastAsia" w:ascii="仿宋_GB2312" w:hAnsi="仿宋_GB2312" w:eastAsia="仿宋_GB2312" w:cs="仿宋_GB2312"/>
          <w:b w:val="0"/>
          <w:bCs w:val="0"/>
          <w:sz w:val="32"/>
          <w:szCs w:val="32"/>
          <w:lang w:val="en-US" w:eastAsia="zh-CN"/>
        </w:rPr>
        <w:t>（</w:t>
      </w:r>
      <w:r>
        <w:rPr>
          <w:rFonts w:hint="eastAsia" w:ascii="楷体_GB2312" w:hAnsi="楷体_GB2312" w:eastAsia="楷体_GB2312" w:cs="楷体_GB2312"/>
          <w:b w:val="0"/>
          <w:bCs w:val="0"/>
          <w:sz w:val="32"/>
          <w:szCs w:val="32"/>
          <w:lang w:val="en-US" w:eastAsia="zh-CN"/>
        </w:rPr>
        <w:t>责任单位：市工业和信息化局、市商务局、市地方金融管理局</w:t>
      </w:r>
      <w:r>
        <w:rPr>
          <w:rFonts w:hint="eastAsia" w:ascii="仿宋_GB2312" w:hAnsi="仿宋_GB2312" w:eastAsia="仿宋_GB2312" w:cs="仿宋_GB2312"/>
          <w:b w:val="0"/>
          <w:bCs w:val="0"/>
          <w:sz w:val="32"/>
          <w:szCs w:val="32"/>
          <w:lang w:val="en-US" w:eastAsia="zh-CN"/>
        </w:rPr>
        <w:t>）</w:t>
      </w:r>
    </w:p>
    <w:p w14:paraId="11F4643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default" w:ascii="仿宋_GB2312" w:hAnsi="仿宋_GB2312" w:eastAsia="仿宋_GB2312" w:cs="仿宋_GB2312"/>
          <w:sz w:val="32"/>
          <w:szCs w:val="32"/>
          <w:highlight w:val="yellow"/>
          <w:lang w:val="en-US" w:eastAsia="zh-CN"/>
        </w:rPr>
      </w:pPr>
      <w:r>
        <w:rPr>
          <w:rFonts w:hint="eastAsia" w:ascii="仿宋_GB2312" w:hAnsi="仿宋_GB2312" w:eastAsia="仿宋_GB2312" w:cs="仿宋_GB2312"/>
          <w:b/>
          <w:bCs/>
          <w:sz w:val="32"/>
          <w:szCs w:val="32"/>
          <w:highlight w:val="none"/>
          <w:lang w:val="en-US" w:eastAsia="zh-CN"/>
        </w:rPr>
        <w:t>14.强化多层次投融资支持。</w:t>
      </w:r>
      <w:r>
        <w:rPr>
          <w:rFonts w:hint="eastAsia" w:ascii="仿宋_GB2312" w:hAnsi="仿宋_GB2312" w:eastAsia="仿宋_GB2312" w:cs="仿宋_GB2312"/>
          <w:bCs w:val="0"/>
          <w:snapToGrid/>
          <w:color w:val="000000" w:themeColor="text1"/>
          <w:kern w:val="0"/>
          <w:sz w:val="32"/>
          <w:szCs w:val="32"/>
          <w:u w:val="none"/>
          <w:shd w:val="clear" w:fill="FFFFFF"/>
          <w:lang w:val="en-US" w:eastAsia="zh-CN" w:bidi="ar"/>
          <w14:textFill>
            <w14:solidFill>
              <w14:schemeClr w14:val="tx1"/>
            </w14:solidFill>
          </w14:textFill>
        </w:rPr>
        <w:t>加强与国家服务贸易创新发展引导基金对接，引导更多社会资本投向科创型服务外包企业及数字化转型项目。</w:t>
      </w:r>
      <w:r>
        <w:rPr>
          <w:rFonts w:hint="eastAsia" w:ascii="仿宋_GB2312" w:hAnsi="仿宋_GB2312" w:eastAsia="仿宋_GB2312" w:cs="仿宋_GB2312"/>
          <w:sz w:val="32"/>
          <w:szCs w:val="32"/>
          <w:highlight w:val="none"/>
          <w:lang w:val="en-US" w:eastAsia="zh-CN"/>
        </w:rPr>
        <w:t>鼓励金融机构针对服务外包高智力、轻资产特点，扩大知识产权质押、执行金额（订单）质押、应收账款融资等产品覆盖面。支持符合条件的服务外包企业利用多层次资本市场挂牌上市、发行债券。</w:t>
      </w:r>
      <w:r>
        <w:rPr>
          <w:rFonts w:hint="eastAsia" w:ascii="楷体_GB2312" w:hAnsi="楷体_GB2312" w:eastAsia="楷体_GB2312" w:cs="楷体_GB2312"/>
          <w:b w:val="0"/>
          <w:bCs w:val="0"/>
          <w:sz w:val="32"/>
          <w:szCs w:val="32"/>
          <w:highlight w:val="none"/>
          <w:lang w:val="en-US" w:eastAsia="zh-CN"/>
        </w:rPr>
        <w:t>（责任单位：市财政局、市商务局、市地方金融管理局、人民银行深圳市分行、深圳金融监管局、深圳证监局）</w:t>
      </w:r>
    </w:p>
    <w:p w14:paraId="3B539E0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default" w:ascii="楷体_GB2312" w:hAnsi="楷体_GB2312" w:eastAsia="楷体_GB2312" w:cs="楷体_GB2312"/>
          <w:b w:val="0"/>
          <w:bCs w:val="0"/>
          <w:color w:val="000000" w:themeColor="text1"/>
          <w:sz w:val="32"/>
          <w:szCs w:val="32"/>
          <w:highlight w:val="none"/>
          <w:u w:val="none"/>
          <w:lang w:val="en-US" w:eastAsia="zh-CN"/>
          <w14:textFill>
            <w14:solidFill>
              <w14:schemeClr w14:val="tx1"/>
            </w14:solidFill>
          </w14:textFill>
        </w:rPr>
      </w:pPr>
      <w:r>
        <w:rPr>
          <w:rFonts w:hint="eastAsia" w:ascii="仿宋_GB2312" w:hAnsi="仿宋_GB2312" w:eastAsia="仿宋_GB2312" w:cs="仿宋_GB2312"/>
          <w:b/>
          <w:bCs/>
          <w:sz w:val="32"/>
          <w:szCs w:val="32"/>
          <w:highlight w:val="none"/>
          <w:lang w:val="en-US" w:eastAsia="zh-CN"/>
        </w:rPr>
        <w:t>15.创新金融与信保支持模式。</w:t>
      </w:r>
      <w:r>
        <w:rPr>
          <w:rFonts w:hint="eastAsia" w:ascii="仿宋_GB2312" w:hAnsi="仿宋_GB2312" w:eastAsia="仿宋_GB2312" w:cs="仿宋_GB2312"/>
          <w:b w:val="0"/>
          <w:bCs w:val="0"/>
          <w:sz w:val="32"/>
          <w:szCs w:val="32"/>
          <w:highlight w:val="none"/>
          <w:lang w:val="en-US" w:eastAsia="zh-CN"/>
        </w:rPr>
        <w:t>支持金融机构针对服务外包跨周期结算特点，开发简单好用的汇率避险产品</w:t>
      </w:r>
      <w:r>
        <w:rPr>
          <w:rFonts w:hint="eastAsia" w:ascii="仿宋_GB2312" w:hAnsi="仿宋_GB2312" w:eastAsia="仿宋_GB2312" w:cs="仿宋_GB2312"/>
          <w:sz w:val="32"/>
          <w:szCs w:val="32"/>
          <w:highlight w:val="none"/>
          <w:lang w:val="en-US" w:eastAsia="zh-CN"/>
        </w:rPr>
        <w:t>。稳步扩大服务外包业务跨境人民币结算规模，鼓励银行通过数字化手段优化外币收结汇流程。扩大出口信用保险对离岸服务外包业务的覆盖面，针对中小微企业灵活设置投保费率与信用期限。聚焦服务外包合同周期长、验收环节多等特征，支持保险机构创新“分阶段承保”与“里程碑理赔”模式。</w:t>
      </w:r>
      <w:r>
        <w:rPr>
          <w:rFonts w:hint="eastAsia" w:ascii="楷体_GB2312" w:hAnsi="楷体_GB2312" w:eastAsia="楷体_GB2312" w:cs="楷体_GB2312"/>
          <w:b w:val="0"/>
          <w:bCs w:val="0"/>
          <w:color w:val="000000" w:themeColor="text1"/>
          <w:sz w:val="32"/>
          <w:szCs w:val="32"/>
          <w:highlight w:val="none"/>
          <w:u w:val="none"/>
          <w:lang w:val="en-US" w:eastAsia="zh-CN"/>
          <w14:textFill>
            <w14:solidFill>
              <w14:schemeClr w14:val="tx1"/>
            </w14:solidFill>
          </w14:textFill>
        </w:rPr>
        <w:t>（责任单位：市商务局、市地方金融管理局、人民银行深圳市分行、中信保深圳分公司）</w:t>
      </w:r>
    </w:p>
    <w:p w14:paraId="3FB29B4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bCs/>
          <w:color w:val="000000"/>
          <w:kern w:val="2"/>
          <w:sz w:val="32"/>
          <w:szCs w:val="32"/>
          <w:highlight w:val="none"/>
          <w:lang w:val="en-US" w:eastAsia="zh-CN" w:bidi="ar-SA"/>
        </w:rPr>
      </w:pPr>
      <w:r>
        <w:rPr>
          <w:rFonts w:hint="eastAsia" w:ascii="楷体_GB2312" w:hAnsi="楷体_GB2312" w:eastAsia="楷体_GB2312" w:cs="楷体_GB2312"/>
          <w:b w:val="0"/>
          <w:bCs w:val="0"/>
          <w:sz w:val="32"/>
          <w:szCs w:val="32"/>
          <w:lang w:val="en-US" w:eastAsia="zh-CN"/>
        </w:rPr>
        <w:t>（五）实施“营商环境优化”行动，集聚全球高端服务要素资源</w:t>
      </w:r>
    </w:p>
    <w:p w14:paraId="7E2035B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highlight w:val="yellow"/>
          <w:lang w:val="en-US" w:eastAsia="zh-CN"/>
        </w:rPr>
      </w:pPr>
      <w:r>
        <w:rPr>
          <w:rFonts w:hint="eastAsia" w:ascii="仿宋_GB2312" w:hAnsi="仿宋_GB2312" w:eastAsia="仿宋_GB2312" w:cs="仿宋_GB2312"/>
          <w:b/>
          <w:bCs/>
          <w:sz w:val="32"/>
          <w:szCs w:val="32"/>
          <w:lang w:val="en-US" w:eastAsia="zh-CN"/>
        </w:rPr>
        <w:t>16.构筑国际人才集聚高地</w:t>
      </w:r>
      <w:r>
        <w:rPr>
          <w:rFonts w:hint="eastAsia" w:ascii="仿宋_GB2312" w:hAnsi="仿宋_GB2312" w:eastAsia="仿宋_GB2312" w:cs="仿宋_GB2312"/>
          <w:sz w:val="32"/>
          <w:szCs w:val="32"/>
          <w:lang w:val="en-US" w:eastAsia="zh-CN"/>
        </w:rPr>
        <w:t>。支持高校与领军企业共建现代产业学院，推广“订单式”培养。引入国际高端通行职业资格培训，培养复合背景的交付人才。扩大前海合作区职业资格准入范围，探索将数字经济、人工智能等领域国际知名证书纳入人才评价体系。培育具有国际竞争力的人力资源服务龙头机构。</w:t>
      </w:r>
      <w:r>
        <w:rPr>
          <w:rFonts w:hint="eastAsia" w:ascii="Times New Roman" w:hAnsi="Times New Roman" w:eastAsia="仿宋_GB2312" w:cs="Times New Roman"/>
          <w:b w:val="0"/>
          <w:bCs w:val="0"/>
          <w:color w:val="auto"/>
          <w:kern w:val="2"/>
          <w:sz w:val="32"/>
          <w:szCs w:val="32"/>
          <w:highlight w:val="none"/>
          <w:u w:val="none" w:color="auto"/>
          <w:lang w:val="en-US" w:eastAsia="zh-CN" w:bidi="ar-SA"/>
        </w:rPr>
        <w:t>为外籍高层次人才提供永久居留便利，完善专家型、创新型人才引进政策。</w:t>
      </w:r>
      <w:r>
        <w:rPr>
          <w:rFonts w:hint="eastAsia" w:ascii="楷体_GB2312" w:hAnsi="楷体_GB2312" w:eastAsia="楷体_GB2312" w:cs="楷体_GB2312"/>
          <w:b w:val="0"/>
          <w:bCs w:val="0"/>
          <w:sz w:val="32"/>
          <w:szCs w:val="32"/>
          <w:lang w:val="en-US" w:eastAsia="zh-CN"/>
        </w:rPr>
        <w:t>（责任单位：市委组织部、市发展改革委、市工业和信息化局、市教育局、市科技创新局、市公安局、市商务局、市人力资源保障局、市前海管理局）</w:t>
      </w:r>
    </w:p>
    <w:p w14:paraId="437D3B2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val="0"/>
          <w:bCs w:val="0"/>
          <w:color w:val="000000"/>
          <w:kern w:val="2"/>
          <w:sz w:val="32"/>
          <w:szCs w:val="32"/>
          <w:highlight w:val="yellow"/>
          <w:lang w:val="en-US" w:eastAsia="zh-CN" w:bidi="ar-SA"/>
        </w:rPr>
      </w:pPr>
      <w:r>
        <w:rPr>
          <w:rFonts w:hint="eastAsia" w:ascii="仿宋_GB2312" w:hAnsi="仿宋_GB2312" w:eastAsia="仿宋_GB2312" w:cs="仿宋_GB2312"/>
          <w:b/>
          <w:bCs/>
          <w:color w:val="000000"/>
          <w:kern w:val="2"/>
          <w:sz w:val="32"/>
          <w:szCs w:val="32"/>
          <w:highlight w:val="none"/>
          <w:lang w:val="en-US" w:eastAsia="zh-CN" w:bidi="ar-SA"/>
        </w:rPr>
        <w:t>17.优化海关集成化监管模式</w:t>
      </w:r>
      <w:r>
        <w:rPr>
          <w:rFonts w:hint="eastAsia" w:ascii="仿宋_GB2312" w:hAnsi="仿宋_GB2312" w:eastAsia="仿宋_GB2312" w:cs="仿宋_GB2312"/>
          <w:b w:val="0"/>
          <w:bCs w:val="0"/>
          <w:color w:val="000000"/>
          <w:kern w:val="2"/>
          <w:sz w:val="32"/>
          <w:szCs w:val="32"/>
          <w:highlight w:val="none"/>
          <w:lang w:val="en-US" w:eastAsia="zh-CN" w:bidi="ar-SA"/>
        </w:rPr>
        <w:t>。</w:t>
      </w:r>
      <w:r>
        <w:rPr>
          <w:rFonts w:hint="eastAsia" w:ascii="仿宋_GB2312" w:hAnsi="仿宋_GB2312" w:eastAsia="仿宋_GB2312" w:cs="仿宋_GB2312"/>
          <w:b w:val="0"/>
          <w:bCs w:val="0"/>
          <w:sz w:val="32"/>
          <w:szCs w:val="32"/>
          <w:lang w:val="en-US" w:eastAsia="zh-CN"/>
        </w:rPr>
        <w:t>探索“一物一码”监管，</w:t>
      </w:r>
      <w:r>
        <w:rPr>
          <w:rFonts w:hint="eastAsia" w:ascii="仿宋_GB2312" w:hAnsi="Times New Roman" w:eastAsia="仿宋_GB2312" w:cs="仿宋_GB2312"/>
          <w:color w:val="000000"/>
          <w:kern w:val="32"/>
          <w:sz w:val="32"/>
          <w:szCs w:val="32"/>
          <w:highlight w:val="none"/>
          <w:u w:val="none"/>
          <w:lang w:val="en-US" w:eastAsia="zh-CN" w:bidi="ar"/>
        </w:rPr>
        <w:t>对“两头在外”的相关业务所需进口料件实施保税监管，简化研发用样本样品、实验设备进出口手续。</w:t>
      </w:r>
      <w:r>
        <w:rPr>
          <w:rFonts w:hint="eastAsia" w:ascii="仿宋_GB2312" w:hAnsi="仿宋_GB2312" w:eastAsia="仿宋_GB2312" w:cs="仿宋_GB2312"/>
          <w:b w:val="0"/>
          <w:bCs w:val="0"/>
          <w:color w:val="000000"/>
          <w:kern w:val="2"/>
          <w:sz w:val="32"/>
          <w:szCs w:val="32"/>
          <w:highlight w:val="none"/>
          <w:lang w:val="en-US" w:eastAsia="zh-CN" w:bidi="ar-SA"/>
        </w:rPr>
        <w:t>遴选优质服务外包企业纳入海关AEO高级认证重点培育库，落实低查验率、优先办理及免除担保等便利化红利。</w:t>
      </w:r>
      <w:r>
        <w:rPr>
          <w:rFonts w:hint="eastAsia" w:ascii="楷体_GB2312" w:hAnsi="楷体_GB2312" w:eastAsia="楷体_GB2312" w:cs="楷体_GB2312"/>
          <w:b w:val="0"/>
          <w:bCs w:val="0"/>
          <w:sz w:val="32"/>
          <w:szCs w:val="32"/>
          <w:lang w:val="en-US" w:eastAsia="zh-CN"/>
        </w:rPr>
        <w:t>（责任单位：市商务局、深圳海关）</w:t>
      </w:r>
    </w:p>
    <w:p w14:paraId="7F1A743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default" w:ascii="仿宋_GB2312" w:hAnsi="仿宋_GB2312" w:eastAsia="仿宋_GB2312" w:cs="仿宋_GB2312"/>
          <w:b/>
          <w:bCs/>
          <w:color w:val="000000"/>
          <w:kern w:val="2"/>
          <w:sz w:val="32"/>
          <w:szCs w:val="32"/>
          <w:highlight w:val="yellow"/>
          <w:lang w:val="en-US" w:eastAsia="zh-CN" w:bidi="ar-SA"/>
        </w:rPr>
      </w:pPr>
      <w:r>
        <w:rPr>
          <w:rFonts w:hint="eastAsia" w:ascii="仿宋_GB2312" w:hAnsi="仿宋_GB2312" w:eastAsia="仿宋_GB2312" w:cs="仿宋_GB2312"/>
          <w:b/>
          <w:bCs/>
          <w:sz w:val="32"/>
          <w:szCs w:val="32"/>
          <w:lang w:val="en-US" w:eastAsia="zh-CN"/>
        </w:rPr>
        <w:t>18.落实税收精准支持政策。</w:t>
      </w:r>
      <w:r>
        <w:rPr>
          <w:rFonts w:hint="eastAsia" w:ascii="仿宋_GB2312" w:hAnsi="仿宋_GB2312" w:eastAsia="仿宋_GB2312" w:cs="仿宋_GB2312"/>
          <w:sz w:val="32"/>
          <w:szCs w:val="32"/>
          <w:lang w:val="en-US" w:eastAsia="zh-CN"/>
        </w:rPr>
        <w:t>落实技术先进型服务企业的税收优惠政策、离岸服务外包业务增值税退（免）税政策。</w:t>
      </w:r>
      <w:r>
        <w:rPr>
          <w:rFonts w:hint="eastAsia" w:ascii="仿宋_GB2312" w:hAnsi="仿宋_GB2312" w:eastAsia="仿宋_GB2312" w:cs="仿宋_GB2312"/>
          <w:bCs w:val="0"/>
          <w:snapToGrid/>
          <w:color w:val="000000" w:themeColor="text1"/>
          <w:kern w:val="0"/>
          <w:sz w:val="32"/>
          <w:szCs w:val="32"/>
          <w:u w:val="none"/>
          <w:shd w:val="clear" w:fill="FFFFFF"/>
          <w:lang w:val="en-US" w:eastAsia="zh-CN" w:bidi="ar"/>
          <w14:textFill>
            <w14:solidFill>
              <w14:schemeClr w14:val="tx1"/>
            </w14:solidFill>
          </w14:textFill>
        </w:rPr>
        <w:t>研究推动嵌入式软件纳入服务出口零税率适用范围。依托数智化技术和平台提高服务出口退税申报效率。</w:t>
      </w:r>
      <w:r>
        <w:rPr>
          <w:rFonts w:hint="eastAsia" w:ascii="楷体_GB2312" w:hAnsi="楷体_GB2312" w:eastAsia="楷体_GB2312" w:cs="楷体_GB2312"/>
          <w:b w:val="0"/>
          <w:bCs w:val="0"/>
          <w:sz w:val="32"/>
          <w:szCs w:val="32"/>
          <w:lang w:val="en-US" w:eastAsia="zh-CN"/>
        </w:rPr>
        <w:t>（责任单位：市工业和信息化局、市商务局、市税务局</w:t>
      </w:r>
      <w:r>
        <w:rPr>
          <w:rFonts w:hint="eastAsia" w:ascii="楷体_GB2312" w:hAnsi="楷体_GB2312" w:eastAsia="楷体_GB2312" w:cs="楷体_GB2312"/>
          <w:b w:val="0"/>
          <w:bCs w:val="0"/>
          <w:color w:val="000000" w:themeColor="text1"/>
          <w:kern w:val="2"/>
          <w:sz w:val="32"/>
          <w:szCs w:val="32"/>
          <w:highlight w:val="none"/>
          <w:u w:val="none"/>
          <w:lang w:val="en-US" w:eastAsia="zh-CN" w:bidi="ar-SA"/>
          <w14:textFill>
            <w14:solidFill>
              <w14:schemeClr w14:val="tx1"/>
            </w14:solidFill>
          </w14:textFill>
        </w:rPr>
        <w:t>）</w:t>
      </w:r>
    </w:p>
    <w:p w14:paraId="59BC715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default" w:ascii="仿宋_GB2312" w:hAnsi="仿宋_GB2312" w:eastAsia="仿宋_GB2312" w:cs="仿宋_GB2312"/>
          <w:b w:val="0"/>
          <w:bCs w:val="0"/>
          <w:color w:val="000000"/>
          <w:kern w:val="2"/>
          <w:sz w:val="32"/>
          <w:szCs w:val="32"/>
          <w:highlight w:val="none"/>
          <w:lang w:val="en-US" w:eastAsia="zh-CN" w:bidi="ar-SA"/>
        </w:rPr>
      </w:pPr>
      <w:r>
        <w:rPr>
          <w:rFonts w:hint="eastAsia" w:ascii="仿宋_GB2312" w:hAnsi="仿宋_GB2312" w:eastAsia="仿宋_GB2312" w:cs="仿宋_GB2312"/>
          <w:b/>
          <w:bCs/>
          <w:sz w:val="32"/>
          <w:szCs w:val="32"/>
          <w:lang w:val="en-US" w:eastAsia="zh-CN"/>
        </w:rPr>
        <w:t>19.创新统计监测模式。</w:t>
      </w:r>
      <w:r>
        <w:rPr>
          <w:rFonts w:hint="eastAsia" w:ascii="仿宋_GB2312" w:hAnsi="仿宋_GB2312" w:eastAsia="仿宋_GB2312" w:cs="仿宋_GB2312"/>
          <w:sz w:val="32"/>
          <w:szCs w:val="32"/>
          <w:lang w:val="en-US" w:eastAsia="zh-CN"/>
        </w:rPr>
        <w:t>严格执行国家服务外包统计调查制度，引导重点企业通过商务部服务外包统计直报系统填报数据，提升服务贸易实绩归集度。加强与商务部的沟通衔接，积极争取将企业“发包”业务纳入统计范畴。深化跨部门数据共享，强化对重点企业、重大项目及新兴业态的动态跟踪分析。紧跟服务贸易与数字贸易新业态、新场景，探索重点企业抽样统计等创新方法，支持有条件的区域率先开展试点。</w:t>
      </w:r>
      <w:r>
        <w:rPr>
          <w:rFonts w:hint="eastAsia" w:ascii="楷体_GB2312" w:hAnsi="楷体_GB2312" w:eastAsia="楷体_GB2312" w:cs="楷体_GB2312"/>
          <w:b w:val="0"/>
          <w:bCs w:val="0"/>
          <w:sz w:val="32"/>
          <w:szCs w:val="32"/>
          <w:lang w:val="en-US" w:eastAsia="zh-CN"/>
        </w:rPr>
        <w:t>（责任单位：市发展改革委、市商务局、各区）</w:t>
      </w:r>
    </w:p>
    <w:p w14:paraId="1509540F">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i w:val="0"/>
          <w:iCs w:val="0"/>
          <w:caps w:val="0"/>
          <w:color w:val="000000"/>
          <w:spacing w:val="0"/>
          <w:kern w:val="2"/>
          <w:sz w:val="32"/>
          <w:szCs w:val="32"/>
          <w:highlight w:val="none"/>
          <w:shd w:val="clear"/>
          <w:lang w:val="en-US" w:eastAsia="zh-CN" w:bidi="ar-SA"/>
        </w:rPr>
      </w:pPr>
      <w:r>
        <w:rPr>
          <w:rFonts w:hint="eastAsia" w:ascii="黑体" w:hAnsi="黑体" w:eastAsia="黑体" w:cs="黑体"/>
          <w:i w:val="0"/>
          <w:iCs w:val="0"/>
          <w:caps w:val="0"/>
          <w:color w:val="000000"/>
          <w:spacing w:val="0"/>
          <w:kern w:val="2"/>
          <w:sz w:val="32"/>
          <w:szCs w:val="32"/>
          <w:highlight w:val="none"/>
          <w:shd w:val="clear"/>
          <w:lang w:val="en-US" w:eastAsia="zh-CN" w:bidi="ar-SA"/>
        </w:rPr>
        <w:t>保障措施</w:t>
      </w:r>
    </w:p>
    <w:p w14:paraId="721859F0">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pPr>
      <w:r>
        <w:rPr>
          <w:rFonts w:hint="eastAsia" w:ascii="仿宋_GB2312" w:hAnsi="仿宋_GB2312" w:eastAsia="仿宋_GB2312" w:cs="仿宋_GB2312"/>
          <w:sz w:val="32"/>
          <w:szCs w:val="32"/>
          <w:lang w:val="en-US" w:eastAsia="zh-CN"/>
        </w:rPr>
        <w:t>全市各单位要不断完善全域全行业抓服务贸易工作机制，强化统筹协作，共同推动服务业国际化与服务贸易发展。各区各行业主管部门持续优化国际化支持举措，切实帮助外包企业拓展全球应用场景、加速关键技术研发创新、提升国际市场开拓能力，聚焦深圳“20+8”产业集群，因地制宜培育具有本土特色的服务外包领航企业，提升核心竞争力。</w:t>
      </w: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8"/>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2C9C4D5-278C-43B9-B64C-043C6EE2F94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B8B479E8-AAA0-46D4-8BB6-FB472385BD51}"/>
  </w:font>
  <w:font w:name="方正小标宋简体">
    <w:panose1 w:val="02000000000000000000"/>
    <w:charset w:val="86"/>
    <w:family w:val="script"/>
    <w:pitch w:val="default"/>
    <w:sig w:usb0="00000001" w:usb1="08000000" w:usb2="00000000" w:usb3="00000000" w:csb0="00040000" w:csb1="00000000"/>
    <w:embedRegular r:id="rId3" w:fontKey="{05C3425E-6C18-4C53-921B-2F03A68BD400}"/>
  </w:font>
  <w:font w:name="楷体_GB2312">
    <w:panose1 w:val="02010609030101010101"/>
    <w:charset w:val="86"/>
    <w:family w:val="auto"/>
    <w:pitch w:val="default"/>
    <w:sig w:usb0="00000001" w:usb1="080E0000" w:usb2="00000000" w:usb3="00000000" w:csb0="00040000" w:csb1="00000000"/>
    <w:embedRegular r:id="rId4" w:fontKey="{B269E317-4561-4B0F-BCD2-61C6C65A43C1}"/>
  </w:font>
  <w:font w:name="仿宋_GB2312">
    <w:panose1 w:val="02010609030101010101"/>
    <w:charset w:val="86"/>
    <w:family w:val="modern"/>
    <w:pitch w:val="default"/>
    <w:sig w:usb0="00000001" w:usb1="080E0000" w:usb2="00000000" w:usb3="00000000" w:csb0="00040000" w:csb1="00000000"/>
    <w:embedRegular r:id="rId5" w:fontKey="{C0568358-C68D-440E-91F7-9A6B30666BDF}"/>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方正小标宋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E10EAC">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E69744">
                          <w:pPr>
                            <w:pStyle w:val="3"/>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AE69744">
                    <w:pPr>
                      <w:pStyle w:val="3"/>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91E3954"/>
    <w:multiLevelType w:val="singleLevel"/>
    <w:tmpl w:val="991E3954"/>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187279"/>
    <w:rsid w:val="33C85C5B"/>
    <w:rsid w:val="432A078A"/>
    <w:rsid w:val="46244F73"/>
    <w:rsid w:val="4F67606F"/>
    <w:rsid w:val="6907225D"/>
    <w:rsid w:val="69147375"/>
    <w:rsid w:val="77CC4F9A"/>
    <w:rsid w:val="78C002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unhideWhenUsed/>
    <w:qFormat/>
    <w:uiPriority w:val="0"/>
    <w:pPr>
      <w:spacing w:before="100" w:beforeAutospacing="1" w:after="100" w:afterAutospacing="1"/>
      <w:jc w:val="left"/>
      <w:outlineLvl w:val="2"/>
    </w:pPr>
    <w:rPr>
      <w:rFonts w:hint="eastAsia" w:ascii="宋体" w:hAnsi="宋体" w:eastAsia="宋体" w:cs="宋体"/>
      <w:b/>
      <w:bCs/>
      <w:kern w:val="0"/>
      <w:sz w:val="27"/>
      <w:szCs w:val="27"/>
      <w:lang w:val="en-US" w:eastAsia="zh-CN" w:bidi="ar"/>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24982c97-e215-49e6-8610-665b7ec457ce</errorID>
      <errorWord>排序排列</errorWord>
      <group>L1_Grammar</group>
      <groupName>语法问题</groupName>
      <ability>L2_Grammar</ability>
      <abilityName>语法错误</abilityName>
      <candidateList>
        <item>排序</item>
      </candidateList>
      <explain/>
      <paraID> 41341F2</paraID>
      <start>124</start>
      <end>128</end>
      <status>unmodified</status>
      <modifiedWord/>
      <trackRevisions>false</trackRevisions>
    </reviewItem>
    <reviewItem>
      <errorID>b1976bb8-91ee-4aa0-9e2d-9d2f9c203c94</errorID>
      <errorWord>市政务和数据局</errorWord>
      <group>L1_Other</group>
      <groupName>其他问题</groupName>
      <ability>L2_Consistency</ability>
      <abilityName>一致性检查</abilityName>
      <candidateList>
        <item>市政务服务和数据管理局</item>
      </candidateList>
      <explain>实体一致性错误，该机构名称在文中其他部分统一表述为市政务服务和数据管理局，此处表述不一致</explain>
      <paraID>50F28F59</paraID>
      <start>176</start>
      <end>183</end>
      <status>unmodified</status>
      <modifiedWord/>
      <trackRevisions>false</trackRevisions>
    </reviewItem>
    <reviewItem>
      <errorID>16b65400-7f0a-4741-a4a6-a7c07c9be009</errorID>
      <errorWord>市地方金融管理局</errorWord>
      <group>L1_Knowledge</group>
      <groupName>知识性问题</groupName>
      <ability>L2_Organization</ability>
      <abilityName>机构检查</abilityName>
      <candidateList>
        <item>市地方金融监管局</item>
      </candidateList>
      <explain>机关单位全简称表述错误</explain>
      <paraID>282E02FD</paraID>
      <start>244</start>
      <end>252</end>
      <status>unmodified</status>
      <modifiedWord/>
      <trackRevisions>false</trackRevisions>
    </reviewItem>
    <reviewItem>
      <errorID>c777be4e-df32-4b50-8052-54eea1ddaf6b</errorID>
      <errorWord>市地方金融管理局</errorWord>
      <group>L1_Knowledge</group>
      <groupName>知识性问题</groupName>
      <ability>L2_Organization</ability>
      <abilityName>机构检查</abilityName>
      <candidateList>
        <item>市地方金融监管局</item>
      </candidateList>
      <explain>机关单位全简称表述错误</explain>
      <paraID>6AD67ACF</paraID>
      <start>355</start>
      <end>363</end>
      <status>unmodified</status>
      <modifiedWord/>
      <trackRevisions>false</trackRevisions>
    </reviewItem>
    <reviewItem>
      <errorID>a91dc318-fce2-42f7-9ac4-9b320fc67a83</errorID>
      <errorWord>数据处理业务</errorWord>
      <group>L1_Grammar</group>
      <groupName>语法问题</groupName>
      <ability>L2_Grammar</ability>
      <abilityName>语法错误</abilityName>
      <candidateList>
        <item>数据处理</item>
      </candidateList>
      <explain/>
      <paraID>7524638C</paraID>
      <start>63</start>
      <end>69</end>
      <status>unmodified</status>
      <modifiedWord/>
      <trackRevisions>false</trackRevisions>
    </reviewItem>
    <reviewItem>
      <errorID>50f7edab-1d63-425d-a3a0-456c095c0154</errorID>
      <errorWord>市地方金融管理局</errorWord>
      <group>L1_Knowledge</group>
      <groupName>知识性问题</groupName>
      <ability>L2_Organization</ability>
      <abilityName>机构检查</abilityName>
      <candidateList>
        <item>市地方金融监管局</item>
      </candidateList>
      <explain>机关单位全简称表述错误</explain>
      <paraID>776C5426</paraID>
      <start>272</start>
      <end>280</end>
      <status>unmodified</status>
      <modifiedWord/>
      <trackRevisions>false</trackRevisions>
    </reviewItem>
    <reviewItem>
      <errorID>b1ced05c-f18d-46c5-8a54-1c4d336418fd</errorID>
      <errorWord>市地方金融管理局</errorWord>
      <group>L1_Knowledge</group>
      <groupName>知识性问题</groupName>
      <ability>L2_Organization</ability>
      <abilityName>机构检查</abilityName>
      <candidateList>
        <item>市地方金融监管局</item>
      </candidateList>
      <explain>机关单位全简称表述错误</explain>
      <paraID> D11927B</paraID>
      <start>229</start>
      <end>237</end>
      <status>unmodified</status>
      <modifiedWord/>
      <trackRevisions>false</trackRevisions>
    </reviewItem>
    <reviewItem>
      <errorID>b8c05582-885e-4729-a4ca-c0d9b6330a45</errorID>
      <errorWord>市地方金融管理局</errorWord>
      <group>L1_Knowledge</group>
      <groupName>知识性问题</groupName>
      <ability>L2_Organization</ability>
      <abilityName>机构检查</abilityName>
      <candidateList>
        <item>市地方金融监管局</item>
      </candidateList>
      <explain>机关单位全简称表述错误</explain>
      <paraID>11F4643C</paraID>
      <start>165</start>
      <end>173</end>
      <status>unmodified</status>
      <modifiedWord/>
      <trackRevisions>false</trackRevisions>
    </reviewItem>
    <reviewItem>
      <errorID>902284d2-5340-41f3-8437-bbd303262245</errorID>
      <errorWord>市地方金融管理局</errorWord>
      <group>L1_Knowledge</group>
      <groupName>知识性问题</groupName>
      <ability>L2_Organization</ability>
      <abilityName>机构检查</abilityName>
      <candidateList>
        <item>市地方金融监管局</item>
      </candidateList>
      <explain>机关单位全简称表述错误</explain>
      <paraID>3B539E03</paraID>
      <start>191</start>
      <end>199</end>
      <status>unmodified</status>
      <modifiedWord/>
      <trackRevisions>false</trackRevisions>
    </reviewItem>
    <reviewItem>
      <errorID>823baa46-5f75-41d3-93ae-c41801633f04</errorID>
      <errorWord>与</errorWord>
      <group>L1_Word</group>
      <groupName>字词问题</groupName>
      <ability>L2_Typo</ability>
      <abilityName>字词错误</abilityName>
      <candidateList>
        <item>和</item>
      </candidateList>
      <explain/>
      <paraID>721859F0</paraID>
      <start>42</start>
      <end>43</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81fbd5c-345a-46b1-b0c8-51b902b6b71b}">
  <ds:schemaRefs/>
</ds:datastoreItem>
</file>

<file path=docProps/app.xml><?xml version="1.0" encoding="utf-8"?>
<Properties xmlns="http://schemas.openxmlformats.org/officeDocument/2006/extended-properties" xmlns:vt="http://schemas.openxmlformats.org/officeDocument/2006/docPropsVTypes">
  <Template>Normal.dotm</Template>
  <Pages>10</Pages>
  <Words>5318</Words>
  <Characters>5404</Characters>
  <Lines>0</Lines>
  <Paragraphs>0</Paragraphs>
  <TotalTime>0</TotalTime>
  <ScaleCrop>false</ScaleCrop>
  <LinksUpToDate>false</LinksUpToDate>
  <CharactersWithSpaces>5404</CharactersWithSpaces>
  <Application>WPS Office_12.1.0.26899_F1E327BC-269C-435d-A152-05C5408002CA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2026-07-28T01:58:00Z</dcterms:created>
  <dc:creator>Administrator</dc:creator>
  <cp:lastModifiedBy>黄玉金</cp:lastModifiedBy>
  <dcterms:modified xsi:type="dcterms:W3CDTF">2026-07-28T02:23:47Z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2052-12.1.0.26899</vt:lpwstr>
  </property>
  <property fmtid="{D5CDD505-2E9C-101B-9397-08002B2CF9AE}" pid="3" name="KSOTemplateDocerSaveRecord">
    <vt:lpwstr>eyJoZGlkIjoiZWZkOGZkY2NiZTc1MTJjYzUzNjgwNWUwNmNkZjY5OTgiLCJ1c2VySWQiOiIzNDc0OTUxNjcifQ==</vt:lpwstr>
  </property>
  <property fmtid="{D5CDD505-2E9C-101B-9397-08002B2CF9AE}" pid="4" name="ICV">
    <vt:lpwstr>FF6C1CAB1AC645C9A98BB49075C85836_12</vt:lpwstr>
  </property>
</Properties>
</file>